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19" w:rsidRDefault="00A45A19" w:rsidP="00DA335B">
      <w:pPr>
        <w:spacing w:before="120" w:after="120"/>
      </w:pPr>
    </w:p>
    <w:p w:rsidR="00A45A19" w:rsidRDefault="00C76156" w:rsidP="00DA335B">
      <w:pPr>
        <w:spacing w:before="120" w:after="120"/>
        <w:jc w:val="center"/>
      </w:pPr>
      <w:r>
        <w:rPr>
          <w:noProof/>
          <w:sz w:val="20"/>
        </w:rPr>
        <w:drawing>
          <wp:inline distT="0" distB="0" distL="0" distR="0" wp14:anchorId="0441ECFF" wp14:editId="702DADAD">
            <wp:extent cx="2112645" cy="1111250"/>
            <wp:effectExtent l="0" t="0" r="1905" b="0"/>
            <wp:docPr id="1" name="Imagen 1" descr="logo agencia 2002 cop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2002 copiar"/>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b="22580"/>
                    <a:stretch>
                      <a:fillRect/>
                    </a:stretch>
                  </pic:blipFill>
                  <pic:spPr bwMode="auto">
                    <a:xfrm>
                      <a:off x="0" y="0"/>
                      <a:ext cx="2112645" cy="1111250"/>
                    </a:xfrm>
                    <a:prstGeom prst="rect">
                      <a:avLst/>
                    </a:prstGeom>
                    <a:noFill/>
                    <a:ln>
                      <a:noFill/>
                    </a:ln>
                  </pic:spPr>
                </pic:pic>
              </a:graphicData>
            </a:graphic>
          </wp:inline>
        </w:drawing>
      </w:r>
    </w:p>
    <w:p w:rsidR="00A45A19" w:rsidRDefault="00A45A19" w:rsidP="00DA335B">
      <w:pPr>
        <w:spacing w:before="120" w:after="120"/>
      </w:pPr>
    </w:p>
    <w:p w:rsidR="00A45A19" w:rsidRDefault="00A45A19" w:rsidP="00DA335B">
      <w:pPr>
        <w:spacing w:before="120" w:after="120"/>
        <w:jc w:val="center"/>
        <w:rPr>
          <w:rFonts w:ascii="Arial" w:hAnsi="Arial" w:cs="Arial"/>
          <w:b/>
          <w:sz w:val="28"/>
          <w:szCs w:val="28"/>
        </w:rPr>
      </w:pPr>
    </w:p>
    <w:p w:rsidR="00674DD3" w:rsidRDefault="00674DD3" w:rsidP="00DA335B">
      <w:pPr>
        <w:spacing w:before="120" w:after="120"/>
        <w:jc w:val="center"/>
        <w:rPr>
          <w:rFonts w:ascii="Arial" w:hAnsi="Arial" w:cs="Arial"/>
          <w:b/>
          <w:sz w:val="28"/>
          <w:szCs w:val="28"/>
        </w:rPr>
      </w:pPr>
    </w:p>
    <w:p w:rsidR="00674DD3" w:rsidRDefault="00674DD3" w:rsidP="00DA335B">
      <w:pPr>
        <w:spacing w:before="120" w:after="120"/>
        <w:jc w:val="center"/>
        <w:rPr>
          <w:rFonts w:ascii="Arial" w:hAnsi="Arial" w:cs="Arial"/>
          <w:b/>
          <w:sz w:val="28"/>
          <w:szCs w:val="28"/>
        </w:rPr>
      </w:pPr>
    </w:p>
    <w:p w:rsidR="009451A0" w:rsidRPr="00472287" w:rsidRDefault="009451A0" w:rsidP="00DA335B">
      <w:pPr>
        <w:spacing w:before="120" w:after="120"/>
        <w:ind w:left="-360" w:firstLine="360"/>
        <w:jc w:val="center"/>
        <w:rPr>
          <w:rFonts w:ascii="Arial" w:hAnsi="Arial" w:cs="Arial"/>
          <w:color w:val="002060"/>
          <w:sz w:val="40"/>
          <w:szCs w:val="40"/>
        </w:rPr>
      </w:pPr>
      <w:r w:rsidRPr="00472287">
        <w:rPr>
          <w:rFonts w:ascii="Arial" w:hAnsi="Arial"/>
          <w:b/>
          <w:color w:val="002060"/>
          <w:sz w:val="40"/>
          <w:szCs w:val="40"/>
        </w:rPr>
        <w:t xml:space="preserve">Procedimiento Normalizado de Trabajo para las inspecciones de control de medicamentos veterinarios en </w:t>
      </w:r>
      <w:r w:rsidRPr="0020197F">
        <w:rPr>
          <w:rFonts w:ascii="Arial" w:hAnsi="Arial"/>
          <w:b/>
          <w:color w:val="002060"/>
          <w:sz w:val="40"/>
          <w:szCs w:val="40"/>
        </w:rPr>
        <w:t>e</w:t>
      </w:r>
      <w:r>
        <w:rPr>
          <w:rFonts w:ascii="Arial" w:hAnsi="Arial"/>
          <w:b/>
          <w:color w:val="002060"/>
          <w:sz w:val="40"/>
          <w:szCs w:val="40"/>
        </w:rPr>
        <w:t xml:space="preserve">l ejercicio profesional </w:t>
      </w:r>
      <w:r w:rsidRPr="0020197F">
        <w:rPr>
          <w:rFonts w:ascii="Arial" w:hAnsi="Arial"/>
          <w:b/>
          <w:color w:val="002060"/>
          <w:sz w:val="40"/>
          <w:szCs w:val="40"/>
        </w:rPr>
        <w:t>veterinario</w:t>
      </w:r>
    </w:p>
    <w:p w:rsidR="00A45A19" w:rsidRDefault="00A45A19" w:rsidP="00DA335B">
      <w:pPr>
        <w:spacing w:before="120" w:after="120"/>
        <w:jc w:val="center"/>
        <w:rPr>
          <w:rFonts w:ascii="Arial" w:hAnsi="Arial" w:cs="Arial"/>
          <w:b/>
          <w:sz w:val="28"/>
          <w:szCs w:val="28"/>
        </w:rPr>
      </w:pPr>
    </w:p>
    <w:p w:rsidR="00675E2A" w:rsidRDefault="00675E2A" w:rsidP="00DA335B">
      <w:pPr>
        <w:spacing w:before="120" w:after="120"/>
        <w:rPr>
          <w:rFonts w:ascii="Arial" w:hAnsi="Arial" w:cs="Arial"/>
        </w:rPr>
      </w:pPr>
    </w:p>
    <w:p w:rsidR="00675E2A" w:rsidRDefault="00675E2A" w:rsidP="00DA335B">
      <w:pPr>
        <w:spacing w:before="120" w:after="120"/>
        <w:rPr>
          <w:rFonts w:ascii="Arial" w:hAnsi="Arial" w:cs="Arial"/>
        </w:rPr>
      </w:pPr>
    </w:p>
    <w:p w:rsidR="00675E2A" w:rsidRDefault="00675E2A" w:rsidP="00DA335B">
      <w:pPr>
        <w:spacing w:before="120" w:after="120"/>
        <w:rPr>
          <w:rFonts w:ascii="Arial" w:hAnsi="Arial" w:cs="Arial"/>
        </w:rPr>
      </w:pPr>
    </w:p>
    <w:p w:rsidR="00675E2A" w:rsidRDefault="00675E2A" w:rsidP="00DA335B">
      <w:pPr>
        <w:spacing w:before="120" w:after="120"/>
        <w:rPr>
          <w:rFonts w:ascii="Arial" w:hAnsi="Arial" w:cs="Arial"/>
        </w:rPr>
      </w:pPr>
    </w:p>
    <w:p w:rsidR="00A45A19" w:rsidRDefault="00A45A19" w:rsidP="00DA335B">
      <w:pPr>
        <w:spacing w:before="120" w:after="120"/>
        <w:rPr>
          <w:rFonts w:ascii="Arial" w:hAnsi="Arial" w:cs="Arial"/>
        </w:rPr>
      </w:pPr>
    </w:p>
    <w:p w:rsidR="00A45A19" w:rsidRDefault="00A45A19" w:rsidP="00DA335B">
      <w:pPr>
        <w:spacing w:before="120" w:after="120"/>
        <w:rPr>
          <w:rFonts w:ascii="Arial" w:hAnsi="Arial" w:cs="Arial"/>
        </w:rPr>
      </w:pPr>
    </w:p>
    <w:tbl>
      <w:tblPr>
        <w:tblpPr w:leftFromText="141" w:rightFromText="141" w:vertAnchor="text" w:horzAnchor="margin" w:tblpXSpec="center" w:tblpY="498"/>
        <w:tblW w:w="8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060"/>
        <w:gridCol w:w="2664"/>
      </w:tblGrid>
      <w:tr w:rsidR="00A45A19" w:rsidRPr="00CD70CB">
        <w:trPr>
          <w:trHeight w:val="164"/>
        </w:trPr>
        <w:tc>
          <w:tcPr>
            <w:tcW w:w="2448" w:type="dxa"/>
            <w:tcBorders>
              <w:top w:val="single" w:sz="4" w:space="0" w:color="auto"/>
              <w:left w:val="single" w:sz="4" w:space="0" w:color="auto"/>
              <w:bottom w:val="single" w:sz="4" w:space="0" w:color="auto"/>
              <w:right w:val="single" w:sz="4" w:space="0" w:color="auto"/>
            </w:tcBorders>
            <w:shd w:val="clear" w:color="auto" w:fill="E6E6E6"/>
          </w:tcPr>
          <w:p w:rsidR="00A45A19" w:rsidRPr="00CD70CB" w:rsidRDefault="00A45A19" w:rsidP="00DA335B">
            <w:pPr>
              <w:spacing w:before="120" w:after="120"/>
              <w:jc w:val="center"/>
              <w:rPr>
                <w:rFonts w:ascii="Arial" w:hAnsi="Arial" w:cs="Arial"/>
                <w:sz w:val="18"/>
                <w:szCs w:val="18"/>
              </w:rPr>
            </w:pPr>
            <w:r w:rsidRPr="00CD70CB">
              <w:rPr>
                <w:rFonts w:ascii="Arial" w:hAnsi="Arial" w:cs="Arial"/>
                <w:b/>
                <w:sz w:val="18"/>
                <w:szCs w:val="18"/>
              </w:rPr>
              <w:t>Realizado por</w:t>
            </w:r>
            <w:r w:rsidRPr="00CD70CB">
              <w:rPr>
                <w:rFonts w:ascii="Arial" w:hAnsi="Arial" w:cs="Arial"/>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rsidR="00A45A19" w:rsidRPr="00CD70CB" w:rsidRDefault="00A45A19" w:rsidP="00DA335B">
            <w:pPr>
              <w:spacing w:before="120" w:after="120"/>
              <w:jc w:val="center"/>
              <w:rPr>
                <w:rFonts w:ascii="Arial" w:hAnsi="Arial" w:cs="Arial"/>
                <w:sz w:val="18"/>
                <w:szCs w:val="18"/>
              </w:rPr>
            </w:pPr>
            <w:r w:rsidRPr="00CD70CB">
              <w:rPr>
                <w:rFonts w:ascii="Arial" w:hAnsi="Arial" w:cs="Arial"/>
                <w:b/>
                <w:sz w:val="18"/>
                <w:szCs w:val="18"/>
              </w:rPr>
              <w:t>Revisado por:</w:t>
            </w:r>
          </w:p>
        </w:tc>
        <w:tc>
          <w:tcPr>
            <w:tcW w:w="2664" w:type="dxa"/>
            <w:tcBorders>
              <w:top w:val="single" w:sz="4" w:space="0" w:color="auto"/>
              <w:left w:val="single" w:sz="4" w:space="0" w:color="auto"/>
              <w:bottom w:val="single" w:sz="4" w:space="0" w:color="auto"/>
              <w:right w:val="single" w:sz="4" w:space="0" w:color="auto"/>
            </w:tcBorders>
            <w:shd w:val="clear" w:color="auto" w:fill="E6E6E6"/>
          </w:tcPr>
          <w:p w:rsidR="00A45A19" w:rsidRPr="00CD70CB" w:rsidRDefault="00A45A19" w:rsidP="00DA335B">
            <w:pPr>
              <w:spacing w:before="120" w:after="120"/>
              <w:jc w:val="center"/>
              <w:rPr>
                <w:rFonts w:ascii="Arial" w:hAnsi="Arial" w:cs="Arial"/>
                <w:b/>
                <w:sz w:val="18"/>
                <w:szCs w:val="18"/>
              </w:rPr>
            </w:pPr>
            <w:r w:rsidRPr="00CD70CB">
              <w:rPr>
                <w:rFonts w:ascii="Arial" w:hAnsi="Arial" w:cs="Arial"/>
                <w:b/>
                <w:sz w:val="18"/>
                <w:szCs w:val="18"/>
              </w:rPr>
              <w:t>Aprobado por:</w:t>
            </w:r>
          </w:p>
        </w:tc>
      </w:tr>
      <w:tr w:rsidR="00A45A19" w:rsidRPr="00CD70CB">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45A19" w:rsidRPr="00CD70CB" w:rsidRDefault="00A45A19" w:rsidP="00DA335B">
            <w:pPr>
              <w:spacing w:before="120" w:after="120"/>
              <w:jc w:val="center"/>
              <w:rPr>
                <w:rFonts w:ascii="Arial" w:hAnsi="Arial" w:cs="Arial"/>
                <w:sz w:val="18"/>
                <w:szCs w:val="18"/>
              </w:rPr>
            </w:pPr>
            <w:r w:rsidRPr="00CD70CB">
              <w:rPr>
                <w:rFonts w:ascii="Arial" w:hAnsi="Arial" w:cs="Arial"/>
                <w:sz w:val="18"/>
                <w:szCs w:val="18"/>
              </w:rPr>
              <w:t>SECCIÓN DE CONTROL DE LAS PRODUCCIONES GANADERAS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r w:rsidRPr="00CD70CB">
              <w:rPr>
                <w:rFonts w:ascii="Arial" w:hAnsi="Arial" w:cs="Arial"/>
                <w:sz w:val="18"/>
                <w:szCs w:val="18"/>
              </w:rPr>
              <w:t>LA JEFA DE SERVICIO DE SANIDAD Y PRODUCCIÓN ANIMAL,</w:t>
            </w:r>
          </w:p>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r w:rsidRPr="00CD70CB">
              <w:rPr>
                <w:rFonts w:ascii="Arial" w:hAnsi="Arial" w:cs="Arial"/>
                <w:sz w:val="18"/>
                <w:szCs w:val="18"/>
              </w:rPr>
              <w:t>Mª Fernanda Fernández Barros</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45A19" w:rsidRPr="00CD70CB" w:rsidRDefault="00A45A19" w:rsidP="00DA335B">
            <w:pPr>
              <w:spacing w:before="120" w:after="120"/>
              <w:jc w:val="center"/>
              <w:rPr>
                <w:rFonts w:ascii="Arial" w:hAnsi="Arial" w:cs="Arial"/>
                <w:sz w:val="18"/>
                <w:szCs w:val="18"/>
              </w:rPr>
            </w:pPr>
          </w:p>
          <w:p w:rsidR="00A45A19" w:rsidRPr="00CD70CB" w:rsidRDefault="009451A0" w:rsidP="00DA335B">
            <w:pPr>
              <w:spacing w:before="120" w:after="120"/>
              <w:jc w:val="center"/>
              <w:rPr>
                <w:rFonts w:ascii="Arial" w:hAnsi="Arial" w:cs="Arial"/>
                <w:sz w:val="18"/>
                <w:szCs w:val="18"/>
              </w:rPr>
            </w:pPr>
            <w:r>
              <w:rPr>
                <w:rFonts w:ascii="Arial" w:hAnsi="Arial" w:cs="Arial"/>
                <w:sz w:val="18"/>
                <w:szCs w:val="18"/>
              </w:rPr>
              <w:t>EL</w:t>
            </w:r>
            <w:r w:rsidR="00A45A19" w:rsidRPr="00CD70CB">
              <w:rPr>
                <w:rFonts w:ascii="Arial" w:hAnsi="Arial" w:cs="Arial"/>
                <w:sz w:val="18"/>
                <w:szCs w:val="18"/>
              </w:rPr>
              <w:t xml:space="preserve"> DIRECTOR GENERAL DE GANADERÍA,</w:t>
            </w:r>
          </w:p>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p>
          <w:p w:rsidR="00A45A19" w:rsidRPr="00CD70CB" w:rsidRDefault="00A45A19" w:rsidP="00DA335B">
            <w:pPr>
              <w:spacing w:before="120" w:after="120"/>
              <w:jc w:val="center"/>
              <w:rPr>
                <w:rFonts w:ascii="Arial" w:hAnsi="Arial" w:cs="Arial"/>
                <w:sz w:val="18"/>
                <w:szCs w:val="18"/>
              </w:rPr>
            </w:pPr>
          </w:p>
          <w:p w:rsidR="00A45A19" w:rsidRPr="00CD70CB" w:rsidRDefault="009451A0" w:rsidP="00DA335B">
            <w:pPr>
              <w:spacing w:before="120" w:after="120"/>
              <w:jc w:val="center"/>
              <w:rPr>
                <w:rFonts w:ascii="Arial" w:hAnsi="Arial" w:cs="Arial"/>
                <w:sz w:val="18"/>
                <w:szCs w:val="18"/>
              </w:rPr>
            </w:pPr>
            <w:r>
              <w:rPr>
                <w:rFonts w:ascii="Arial" w:hAnsi="Arial" w:cs="Arial"/>
                <w:sz w:val="18"/>
                <w:szCs w:val="18"/>
              </w:rPr>
              <w:t>Ibo Álvarez Gonzalez</w:t>
            </w:r>
          </w:p>
        </w:tc>
      </w:tr>
    </w:tbl>
    <w:p w:rsidR="00A45A19" w:rsidRPr="009F191B" w:rsidRDefault="00A45A19" w:rsidP="009F191B">
      <w:pPr>
        <w:spacing w:before="120" w:after="120"/>
        <w:rPr>
          <w:rFonts w:ascii="Arial" w:hAnsi="Arial" w:cs="Arial"/>
        </w:rPr>
      </w:pPr>
      <w:r w:rsidRPr="00B91414">
        <w:rPr>
          <w:rFonts w:ascii="Arial" w:hAnsi="Arial" w:cs="Arial"/>
          <w:b/>
          <w:sz w:val="28"/>
          <w:szCs w:val="28"/>
        </w:rPr>
        <w:lastRenderedPageBreak/>
        <w:t>CONTROL DE VERSIONES</w:t>
      </w:r>
    </w:p>
    <w:p w:rsidR="00A45A19" w:rsidRDefault="00A45A19" w:rsidP="009F191B">
      <w:pPr>
        <w:spacing w:before="120" w:after="120"/>
        <w:rPr>
          <w:rFonts w:ascii="Arial" w:hAnsi="Arial" w:cs="Arial"/>
        </w:rPr>
      </w:pPr>
    </w:p>
    <w:tbl>
      <w:tblPr>
        <w:tblW w:w="9437"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550"/>
        <w:gridCol w:w="1740"/>
        <w:gridCol w:w="2742"/>
        <w:gridCol w:w="3405"/>
      </w:tblGrid>
      <w:tr w:rsidR="00A45A19" w:rsidRPr="00B91414">
        <w:trPr>
          <w:trHeight w:val="468"/>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jc w:val="center"/>
              <w:rPr>
                <w:rFonts w:ascii="Arial" w:hAnsi="Arial" w:cs="Arial"/>
                <w:b/>
                <w:sz w:val="22"/>
                <w:szCs w:val="22"/>
              </w:rPr>
            </w:pPr>
            <w:r w:rsidRPr="00B91414">
              <w:rPr>
                <w:rFonts w:ascii="Arial" w:hAnsi="Arial" w:cs="Arial"/>
                <w:b/>
                <w:sz w:val="22"/>
                <w:szCs w:val="22"/>
              </w:rPr>
              <w:t>VERSIÓN</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jc w:val="center"/>
              <w:rPr>
                <w:rFonts w:ascii="Arial" w:hAnsi="Arial" w:cs="Arial"/>
                <w:b/>
                <w:sz w:val="22"/>
                <w:szCs w:val="22"/>
              </w:rPr>
            </w:pPr>
            <w:r w:rsidRPr="00B91414">
              <w:rPr>
                <w:rFonts w:ascii="Arial" w:hAnsi="Arial" w:cs="Arial"/>
                <w:b/>
                <w:sz w:val="22"/>
                <w:szCs w:val="22"/>
              </w:rPr>
              <w:t>FECHA</w:t>
            </w:r>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jc w:val="center"/>
              <w:rPr>
                <w:rFonts w:ascii="Arial" w:hAnsi="Arial" w:cs="Arial"/>
                <w:b/>
                <w:sz w:val="22"/>
                <w:szCs w:val="22"/>
              </w:rPr>
            </w:pPr>
            <w:r w:rsidRPr="00B91414">
              <w:rPr>
                <w:rFonts w:ascii="Arial" w:hAnsi="Arial" w:cs="Arial"/>
                <w:b/>
                <w:sz w:val="22"/>
                <w:szCs w:val="22"/>
              </w:rPr>
              <w:t>MODIFICACIONES SOBRE VERSIÓN ANTERIOR</w:t>
            </w: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jc w:val="center"/>
              <w:rPr>
                <w:rFonts w:ascii="Arial" w:hAnsi="Arial" w:cs="Arial"/>
                <w:b/>
                <w:sz w:val="22"/>
                <w:szCs w:val="22"/>
              </w:rPr>
            </w:pPr>
            <w:r w:rsidRPr="00B91414">
              <w:rPr>
                <w:rFonts w:ascii="Arial" w:hAnsi="Arial" w:cs="Arial"/>
                <w:b/>
                <w:sz w:val="22"/>
                <w:szCs w:val="22"/>
              </w:rPr>
              <w:t>MOTIVO DE MODIFICACIÓN</w:t>
            </w:r>
          </w:p>
        </w:tc>
      </w:tr>
      <w:tr w:rsidR="00A45A19" w:rsidRPr="00B91414" w:rsidTr="009451A0">
        <w:trPr>
          <w:trHeight w:val="664"/>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rPr>
                <w:rFonts w:ascii="Arial" w:hAnsi="Arial" w:cs="Arial"/>
                <w:sz w:val="20"/>
                <w:szCs w:val="20"/>
              </w:rPr>
            </w:pPr>
            <w:r w:rsidRPr="00B91414">
              <w:rPr>
                <w:rFonts w:ascii="Arial" w:hAnsi="Arial" w:cs="Arial"/>
                <w:sz w:val="20"/>
                <w:szCs w:val="20"/>
              </w:rPr>
              <w:t>1.0</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C6A9F" w:rsidP="00DA335B">
            <w:pPr>
              <w:spacing w:before="120" w:after="120"/>
              <w:rPr>
                <w:rFonts w:ascii="Arial" w:hAnsi="Arial" w:cs="Arial"/>
                <w:sz w:val="20"/>
                <w:szCs w:val="20"/>
              </w:rPr>
            </w:pPr>
            <w:smartTag w:uri="urn:schemas-microsoft-com:office:smarttags" w:element="date">
              <w:smartTagPr>
                <w:attr w:name="ls" w:val="trans"/>
                <w:attr w:name="Month" w:val="05"/>
                <w:attr w:name="Day" w:val="20"/>
                <w:attr w:name="Year" w:val="2015"/>
              </w:smartTagPr>
              <w:r>
                <w:rPr>
                  <w:rFonts w:ascii="Arial" w:hAnsi="Arial" w:cs="Arial"/>
                  <w:sz w:val="20"/>
                  <w:szCs w:val="20"/>
                </w:rPr>
                <w:t>20/05</w:t>
              </w:r>
              <w:r w:rsidR="00A45A19" w:rsidRPr="00B91414">
                <w:rPr>
                  <w:rFonts w:ascii="Arial" w:hAnsi="Arial" w:cs="Arial"/>
                  <w:sz w:val="20"/>
                  <w:szCs w:val="20"/>
                </w:rPr>
                <w:t>/2015</w:t>
              </w:r>
            </w:smartTag>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rPr>
                <w:rFonts w:ascii="Arial" w:hAnsi="Arial" w:cs="Arial"/>
                <w:sz w:val="20"/>
                <w:szCs w:val="20"/>
              </w:rPr>
            </w:pP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rPr>
                <w:rFonts w:ascii="Arial" w:hAnsi="Arial" w:cs="Arial"/>
                <w:sz w:val="20"/>
                <w:szCs w:val="20"/>
              </w:rPr>
            </w:pPr>
            <w:r w:rsidRPr="00B91414">
              <w:rPr>
                <w:rFonts w:ascii="Arial" w:hAnsi="Arial" w:cs="Arial"/>
                <w:sz w:val="20"/>
                <w:szCs w:val="20"/>
              </w:rPr>
              <w:t>Adaptación a la plantilla de PNT</w:t>
            </w:r>
          </w:p>
        </w:tc>
      </w:tr>
      <w:tr w:rsidR="009451A0" w:rsidRPr="00B91414" w:rsidTr="00042310">
        <w:trPr>
          <w:trHeight w:val="595"/>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9451A0" w:rsidRPr="00B91414" w:rsidRDefault="009451A0" w:rsidP="00DA335B">
            <w:pPr>
              <w:spacing w:before="120" w:after="120"/>
              <w:rPr>
                <w:rFonts w:ascii="Arial" w:hAnsi="Arial" w:cs="Arial"/>
                <w:sz w:val="20"/>
                <w:szCs w:val="20"/>
              </w:rPr>
            </w:pPr>
            <w:r>
              <w:rPr>
                <w:rFonts w:ascii="Arial" w:hAnsi="Arial" w:cs="Arial"/>
                <w:sz w:val="20"/>
                <w:szCs w:val="20"/>
              </w:rPr>
              <w:t>2.0</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9451A0" w:rsidRDefault="002076CE" w:rsidP="00DA335B">
            <w:pPr>
              <w:spacing w:before="120" w:after="120"/>
              <w:rPr>
                <w:rFonts w:ascii="Arial" w:hAnsi="Arial" w:cs="Arial"/>
                <w:sz w:val="20"/>
                <w:szCs w:val="20"/>
              </w:rPr>
            </w:pPr>
            <w:r>
              <w:rPr>
                <w:rFonts w:ascii="Arial" w:hAnsi="Arial" w:cs="Arial"/>
                <w:sz w:val="20"/>
                <w:szCs w:val="20"/>
              </w:rPr>
              <w:t>2</w:t>
            </w:r>
            <w:r w:rsidR="00BE47A7">
              <w:rPr>
                <w:rFonts w:ascii="Arial" w:hAnsi="Arial" w:cs="Arial"/>
                <w:sz w:val="20"/>
                <w:szCs w:val="20"/>
              </w:rPr>
              <w:t>4</w:t>
            </w:r>
            <w:r w:rsidR="009451A0">
              <w:rPr>
                <w:rFonts w:ascii="Arial" w:hAnsi="Arial" w:cs="Arial"/>
                <w:sz w:val="20"/>
                <w:szCs w:val="20"/>
              </w:rPr>
              <w:t>/0</w:t>
            </w:r>
            <w:r>
              <w:rPr>
                <w:rFonts w:ascii="Arial" w:hAnsi="Arial" w:cs="Arial"/>
                <w:sz w:val="20"/>
                <w:szCs w:val="20"/>
              </w:rPr>
              <w:t>4</w:t>
            </w:r>
            <w:r w:rsidR="009451A0">
              <w:rPr>
                <w:rFonts w:ascii="Arial" w:hAnsi="Arial" w:cs="Arial"/>
                <w:sz w:val="20"/>
                <w:szCs w:val="20"/>
              </w:rPr>
              <w:t>/2017</w:t>
            </w:r>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9451A0" w:rsidRPr="00B91414" w:rsidRDefault="009451A0" w:rsidP="00DA335B">
            <w:pPr>
              <w:spacing w:before="120" w:after="120"/>
              <w:rPr>
                <w:rFonts w:ascii="Arial" w:hAnsi="Arial" w:cs="Arial"/>
                <w:sz w:val="20"/>
                <w:szCs w:val="20"/>
              </w:rPr>
            </w:pPr>
            <w:r>
              <w:rPr>
                <w:rFonts w:ascii="Arial" w:hAnsi="Arial" w:cs="Arial"/>
                <w:sz w:val="20"/>
                <w:szCs w:val="20"/>
              </w:rPr>
              <w:t xml:space="preserve">Todas las </w:t>
            </w:r>
            <w:r w:rsidR="00DC1669">
              <w:rPr>
                <w:rFonts w:ascii="Arial" w:hAnsi="Arial" w:cs="Arial"/>
                <w:sz w:val="20"/>
                <w:szCs w:val="20"/>
              </w:rPr>
              <w:t>páginas.</w:t>
            </w: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9451A0" w:rsidRPr="00B91414" w:rsidRDefault="009451A0" w:rsidP="00DA335B">
            <w:pPr>
              <w:spacing w:before="120" w:after="120"/>
              <w:rPr>
                <w:rFonts w:ascii="Arial" w:hAnsi="Arial" w:cs="Arial"/>
                <w:sz w:val="20"/>
                <w:szCs w:val="20"/>
              </w:rPr>
            </w:pPr>
            <w:r>
              <w:rPr>
                <w:rFonts w:ascii="Arial" w:hAnsi="Arial" w:cs="Arial"/>
                <w:sz w:val="20"/>
                <w:szCs w:val="20"/>
              </w:rPr>
              <w:t>Adaptación al PNCOCA (modificación de 20 de diciembre de 2016)</w:t>
            </w:r>
          </w:p>
        </w:tc>
      </w:tr>
      <w:tr w:rsidR="00042310" w:rsidRPr="00B91414" w:rsidTr="00A24309">
        <w:trPr>
          <w:trHeight w:val="720"/>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042310" w:rsidRDefault="00042310" w:rsidP="00DA335B">
            <w:pPr>
              <w:spacing w:before="120" w:after="120"/>
              <w:rPr>
                <w:rFonts w:ascii="Arial" w:hAnsi="Arial" w:cs="Arial"/>
                <w:sz w:val="20"/>
                <w:szCs w:val="20"/>
              </w:rPr>
            </w:pPr>
            <w:r>
              <w:rPr>
                <w:rFonts w:ascii="Arial" w:hAnsi="Arial" w:cs="Arial"/>
                <w:sz w:val="20"/>
                <w:szCs w:val="20"/>
              </w:rPr>
              <w:t>2.1</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042310" w:rsidRDefault="00042310" w:rsidP="00DA335B">
            <w:pPr>
              <w:spacing w:before="120" w:after="120"/>
              <w:rPr>
                <w:rFonts w:ascii="Arial" w:hAnsi="Arial" w:cs="Arial"/>
                <w:sz w:val="20"/>
                <w:szCs w:val="20"/>
              </w:rPr>
            </w:pPr>
            <w:r>
              <w:rPr>
                <w:rFonts w:ascii="Arial" w:hAnsi="Arial" w:cs="Arial"/>
                <w:sz w:val="20"/>
                <w:szCs w:val="20"/>
              </w:rPr>
              <w:t>04</w:t>
            </w:r>
            <w:r w:rsidRPr="00042310">
              <w:rPr>
                <w:rFonts w:ascii="Arial" w:hAnsi="Arial" w:cs="Arial"/>
                <w:sz w:val="20"/>
                <w:szCs w:val="20"/>
              </w:rPr>
              <w:t>/04/201</w:t>
            </w:r>
            <w:r>
              <w:rPr>
                <w:rFonts w:ascii="Arial" w:hAnsi="Arial" w:cs="Arial"/>
                <w:sz w:val="20"/>
                <w:szCs w:val="20"/>
              </w:rPr>
              <w:t>8</w:t>
            </w:r>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042310" w:rsidRDefault="00042310" w:rsidP="00DA335B">
            <w:pPr>
              <w:spacing w:before="120" w:after="120"/>
              <w:rPr>
                <w:rFonts w:ascii="Arial" w:hAnsi="Arial" w:cs="Arial"/>
                <w:sz w:val="20"/>
                <w:szCs w:val="20"/>
              </w:rPr>
            </w:pPr>
            <w:r>
              <w:rPr>
                <w:rFonts w:ascii="Arial" w:hAnsi="Arial" w:cs="Arial"/>
                <w:sz w:val="20"/>
                <w:szCs w:val="20"/>
              </w:rPr>
              <w:t>Pág. 7</w:t>
            </w: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042310" w:rsidRDefault="00042310" w:rsidP="00DA335B">
            <w:pPr>
              <w:spacing w:before="120" w:after="120"/>
              <w:rPr>
                <w:rFonts w:ascii="Arial" w:hAnsi="Arial" w:cs="Arial"/>
                <w:sz w:val="20"/>
                <w:szCs w:val="20"/>
              </w:rPr>
            </w:pPr>
            <w:r>
              <w:rPr>
                <w:rFonts w:ascii="Arial" w:hAnsi="Arial" w:cs="Arial"/>
                <w:sz w:val="20"/>
                <w:szCs w:val="20"/>
              </w:rPr>
              <w:t>Información adicional sobre registros de salida y prescripción excepcional</w:t>
            </w:r>
            <w:r w:rsidR="00F05067">
              <w:rPr>
                <w:rFonts w:ascii="Arial" w:hAnsi="Arial" w:cs="Arial"/>
                <w:sz w:val="20"/>
                <w:szCs w:val="20"/>
              </w:rPr>
              <w:t>.</w:t>
            </w:r>
          </w:p>
        </w:tc>
      </w:tr>
      <w:tr w:rsidR="00A24309" w:rsidRPr="00B91414" w:rsidTr="00A24309">
        <w:trPr>
          <w:trHeight w:val="669"/>
          <w:tblCellSpacing w:w="20" w:type="dxa"/>
        </w:trPr>
        <w:tc>
          <w:tcPr>
            <w:tcW w:w="1490" w:type="dxa"/>
            <w:tcBorders>
              <w:top w:val="outset" w:sz="6" w:space="0" w:color="auto"/>
              <w:left w:val="outset" w:sz="6" w:space="0" w:color="auto"/>
              <w:bottom w:val="outset" w:sz="6" w:space="0" w:color="auto"/>
              <w:right w:val="outset" w:sz="6" w:space="0" w:color="auto"/>
            </w:tcBorders>
            <w:shd w:val="clear" w:color="auto" w:fill="auto"/>
            <w:vAlign w:val="center"/>
          </w:tcPr>
          <w:p w:rsidR="00A24309" w:rsidRDefault="00A24309" w:rsidP="00DA335B">
            <w:pPr>
              <w:spacing w:before="120" w:after="120"/>
              <w:rPr>
                <w:rFonts w:ascii="Arial" w:hAnsi="Arial" w:cs="Arial"/>
                <w:sz w:val="20"/>
                <w:szCs w:val="20"/>
              </w:rPr>
            </w:pPr>
            <w:r>
              <w:rPr>
                <w:rFonts w:ascii="Arial" w:hAnsi="Arial" w:cs="Arial"/>
                <w:sz w:val="20"/>
                <w:szCs w:val="20"/>
              </w:rPr>
              <w:t>3.0</w:t>
            </w:r>
          </w:p>
        </w:tc>
        <w:tc>
          <w:tcPr>
            <w:tcW w:w="1700" w:type="dxa"/>
            <w:tcBorders>
              <w:top w:val="outset" w:sz="6" w:space="0" w:color="auto"/>
              <w:left w:val="outset" w:sz="6" w:space="0" w:color="auto"/>
              <w:bottom w:val="outset" w:sz="6" w:space="0" w:color="auto"/>
              <w:right w:val="outset" w:sz="6" w:space="0" w:color="auto"/>
            </w:tcBorders>
            <w:shd w:val="clear" w:color="auto" w:fill="auto"/>
            <w:vAlign w:val="center"/>
          </w:tcPr>
          <w:p w:rsidR="00A24309" w:rsidRDefault="00A24309" w:rsidP="00A24309">
            <w:pPr>
              <w:spacing w:before="120" w:after="120"/>
              <w:rPr>
                <w:rFonts w:ascii="Arial" w:hAnsi="Arial" w:cs="Arial"/>
                <w:sz w:val="20"/>
                <w:szCs w:val="20"/>
              </w:rPr>
            </w:pPr>
            <w:r>
              <w:rPr>
                <w:rFonts w:ascii="Arial" w:hAnsi="Arial" w:cs="Arial"/>
                <w:sz w:val="20"/>
                <w:szCs w:val="20"/>
              </w:rPr>
              <w:t>24</w:t>
            </w:r>
            <w:r w:rsidRPr="00042310">
              <w:rPr>
                <w:rFonts w:ascii="Arial" w:hAnsi="Arial" w:cs="Arial"/>
                <w:sz w:val="20"/>
                <w:szCs w:val="20"/>
              </w:rPr>
              <w:t>/04/201</w:t>
            </w:r>
            <w:r>
              <w:rPr>
                <w:rFonts w:ascii="Arial" w:hAnsi="Arial" w:cs="Arial"/>
                <w:sz w:val="20"/>
                <w:szCs w:val="20"/>
              </w:rPr>
              <w:t>9</w:t>
            </w:r>
          </w:p>
        </w:tc>
        <w:tc>
          <w:tcPr>
            <w:tcW w:w="2702" w:type="dxa"/>
            <w:tcBorders>
              <w:top w:val="outset" w:sz="6" w:space="0" w:color="auto"/>
              <w:left w:val="outset" w:sz="6" w:space="0" w:color="auto"/>
              <w:bottom w:val="outset" w:sz="6" w:space="0" w:color="auto"/>
              <w:right w:val="outset" w:sz="6" w:space="0" w:color="auto"/>
            </w:tcBorders>
            <w:shd w:val="clear" w:color="auto" w:fill="auto"/>
            <w:vAlign w:val="center"/>
          </w:tcPr>
          <w:p w:rsidR="00A24309" w:rsidRDefault="00A24309" w:rsidP="00A24309">
            <w:pPr>
              <w:spacing w:before="120" w:after="120"/>
              <w:rPr>
                <w:rFonts w:ascii="Arial" w:hAnsi="Arial" w:cs="Arial"/>
                <w:sz w:val="20"/>
                <w:szCs w:val="20"/>
              </w:rPr>
            </w:pPr>
            <w:r>
              <w:rPr>
                <w:rFonts w:ascii="Arial" w:hAnsi="Arial" w:cs="Arial"/>
                <w:sz w:val="20"/>
                <w:szCs w:val="20"/>
              </w:rPr>
              <w:t>Pág. 5,10</w:t>
            </w:r>
          </w:p>
        </w:tc>
        <w:tc>
          <w:tcPr>
            <w:tcW w:w="3345" w:type="dxa"/>
            <w:tcBorders>
              <w:top w:val="outset" w:sz="6" w:space="0" w:color="auto"/>
              <w:left w:val="outset" w:sz="6" w:space="0" w:color="auto"/>
              <w:bottom w:val="outset" w:sz="6" w:space="0" w:color="auto"/>
              <w:right w:val="outset" w:sz="6" w:space="0" w:color="auto"/>
            </w:tcBorders>
            <w:shd w:val="clear" w:color="auto" w:fill="auto"/>
            <w:vAlign w:val="center"/>
          </w:tcPr>
          <w:p w:rsidR="00A24309" w:rsidRDefault="00A24309" w:rsidP="00A24309">
            <w:pPr>
              <w:spacing w:before="120" w:after="120"/>
              <w:rPr>
                <w:rFonts w:ascii="Arial" w:hAnsi="Arial" w:cs="Arial"/>
                <w:sz w:val="20"/>
                <w:szCs w:val="20"/>
              </w:rPr>
            </w:pPr>
            <w:r>
              <w:rPr>
                <w:rFonts w:ascii="Arial" w:hAnsi="Arial" w:cs="Arial"/>
                <w:sz w:val="20"/>
                <w:szCs w:val="20"/>
              </w:rPr>
              <w:t>Adaptación al PNCOCA (modificación de 17 de diciembre de 2018)</w:t>
            </w:r>
          </w:p>
        </w:tc>
      </w:tr>
    </w:tbl>
    <w:p w:rsidR="00A45A19" w:rsidRDefault="00A45A19" w:rsidP="00DA335B">
      <w:pPr>
        <w:spacing w:before="120" w:after="120"/>
        <w:jc w:val="center"/>
        <w:rPr>
          <w:rFonts w:ascii="Arial" w:hAnsi="Arial" w:cs="Arial"/>
        </w:rPr>
      </w:pPr>
    </w:p>
    <w:p w:rsidR="00A45A19" w:rsidRDefault="00A45A19" w:rsidP="00DA335B">
      <w:pPr>
        <w:spacing w:before="120" w:after="120"/>
        <w:jc w:val="center"/>
        <w:rPr>
          <w:rFonts w:ascii="Arial" w:hAnsi="Arial" w:cs="Arial"/>
        </w:rPr>
      </w:pPr>
    </w:p>
    <w:p w:rsidR="00A45A19" w:rsidRDefault="00A45A19" w:rsidP="00DA335B">
      <w:pPr>
        <w:spacing w:before="120" w:after="120"/>
        <w:rPr>
          <w:rFonts w:ascii="Arial" w:hAnsi="Arial" w:cs="Arial"/>
          <w:b/>
        </w:rPr>
      </w:pPr>
    </w:p>
    <w:p w:rsidR="00A45A19" w:rsidRPr="00BD1197" w:rsidRDefault="00A45A19" w:rsidP="00DA335B">
      <w:pPr>
        <w:spacing w:before="120" w:after="120"/>
        <w:jc w:val="both"/>
        <w:rPr>
          <w:rFonts w:ascii="Arial" w:hAnsi="Arial" w:cs="Arial"/>
          <w:b/>
          <w:sz w:val="28"/>
          <w:szCs w:val="28"/>
        </w:rPr>
      </w:pPr>
      <w:r w:rsidRPr="00BD1197">
        <w:rPr>
          <w:rFonts w:ascii="Arial" w:hAnsi="Arial" w:cs="Arial"/>
          <w:b/>
          <w:sz w:val="28"/>
          <w:szCs w:val="28"/>
        </w:rPr>
        <w:t>LISTA DE DISTRIBUCIÓN</w:t>
      </w:r>
    </w:p>
    <w:p w:rsidR="00A45A19" w:rsidRDefault="00A45A19" w:rsidP="00DA335B">
      <w:pPr>
        <w:spacing w:before="120" w:after="120"/>
        <w:jc w:val="both"/>
        <w:rPr>
          <w:rFonts w:ascii="Verdana" w:hAnsi="Verdana" w:cs="Arial"/>
        </w:rPr>
      </w:pPr>
    </w:p>
    <w:p w:rsidR="00A45A19" w:rsidRDefault="00A45A19" w:rsidP="00DA335B">
      <w:pPr>
        <w:spacing w:before="120" w:after="120"/>
        <w:jc w:val="both"/>
        <w:rPr>
          <w:rFonts w:ascii="Verdana" w:hAnsi="Verdana" w:cs="Arial"/>
        </w:rPr>
      </w:pPr>
    </w:p>
    <w:tbl>
      <w:tblPr>
        <w:tblW w:w="9437"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369"/>
        <w:gridCol w:w="3543"/>
        <w:gridCol w:w="2525"/>
      </w:tblGrid>
      <w:tr w:rsidR="00A45A19" w:rsidRPr="00BD1197">
        <w:trPr>
          <w:trHeight w:val="468"/>
          <w:tblCellSpacing w:w="20" w:type="dxa"/>
        </w:trPr>
        <w:tc>
          <w:tcPr>
            <w:tcW w:w="3309"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D1197" w:rsidRDefault="00A45A19" w:rsidP="00DA335B">
            <w:pPr>
              <w:spacing w:before="120" w:after="120"/>
              <w:jc w:val="center"/>
              <w:rPr>
                <w:rFonts w:ascii="Arial" w:hAnsi="Arial" w:cs="Arial"/>
                <w:b/>
                <w:sz w:val="22"/>
                <w:szCs w:val="22"/>
              </w:rPr>
            </w:pPr>
            <w:r w:rsidRPr="00BD1197">
              <w:rPr>
                <w:rFonts w:ascii="Arial" w:hAnsi="Arial" w:cs="Arial"/>
                <w:b/>
                <w:sz w:val="22"/>
                <w:szCs w:val="22"/>
              </w:rPr>
              <w:t>CARGO</w:t>
            </w:r>
          </w:p>
        </w:tc>
        <w:tc>
          <w:tcPr>
            <w:tcW w:w="3503"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D1197" w:rsidRDefault="00A45A19" w:rsidP="00DA335B">
            <w:pPr>
              <w:spacing w:before="120" w:after="120"/>
              <w:jc w:val="center"/>
              <w:rPr>
                <w:rFonts w:ascii="Arial" w:hAnsi="Arial" w:cs="Arial"/>
                <w:b/>
                <w:sz w:val="22"/>
                <w:szCs w:val="22"/>
              </w:rPr>
            </w:pPr>
            <w:r w:rsidRPr="00BD1197">
              <w:rPr>
                <w:rFonts w:ascii="Arial" w:hAnsi="Arial" w:cs="Arial"/>
                <w:b/>
                <w:sz w:val="22"/>
                <w:szCs w:val="22"/>
              </w:rPr>
              <w:t xml:space="preserve">SERVICIO </w:t>
            </w:r>
          </w:p>
        </w:tc>
        <w:tc>
          <w:tcPr>
            <w:tcW w:w="2465"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D1197" w:rsidRDefault="00A45A19" w:rsidP="00DA335B">
            <w:pPr>
              <w:spacing w:before="120" w:after="120"/>
              <w:jc w:val="center"/>
              <w:rPr>
                <w:rFonts w:ascii="Arial" w:hAnsi="Arial" w:cs="Arial"/>
                <w:b/>
                <w:sz w:val="22"/>
                <w:szCs w:val="22"/>
              </w:rPr>
            </w:pPr>
            <w:r w:rsidRPr="00BD1197">
              <w:rPr>
                <w:rFonts w:ascii="Arial" w:hAnsi="Arial" w:cs="Arial"/>
                <w:b/>
                <w:sz w:val="22"/>
                <w:szCs w:val="22"/>
              </w:rPr>
              <w:t>DEPARTAMENTO</w:t>
            </w:r>
          </w:p>
        </w:tc>
      </w:tr>
      <w:tr w:rsidR="00A45A19" w:rsidRPr="00B91414">
        <w:trPr>
          <w:tblCellSpacing w:w="20" w:type="dxa"/>
        </w:trPr>
        <w:tc>
          <w:tcPr>
            <w:tcW w:w="3309" w:type="dxa"/>
            <w:tcBorders>
              <w:top w:val="outset" w:sz="6" w:space="0" w:color="auto"/>
              <w:left w:val="outset" w:sz="6" w:space="0" w:color="auto"/>
              <w:bottom w:val="outset" w:sz="6" w:space="0" w:color="auto"/>
              <w:right w:val="outset" w:sz="6" w:space="0" w:color="auto"/>
            </w:tcBorders>
            <w:shd w:val="clear" w:color="auto" w:fill="auto"/>
          </w:tcPr>
          <w:p w:rsidR="00DC1669" w:rsidRDefault="00DC1669" w:rsidP="00DA335B">
            <w:pPr>
              <w:spacing w:before="120" w:after="120"/>
              <w:rPr>
                <w:rFonts w:ascii="Arial" w:hAnsi="Arial" w:cs="Arial"/>
                <w:sz w:val="20"/>
                <w:szCs w:val="20"/>
              </w:rPr>
            </w:pPr>
            <w:r>
              <w:rPr>
                <w:rFonts w:ascii="Arial" w:hAnsi="Arial" w:cs="Arial"/>
                <w:sz w:val="20"/>
                <w:szCs w:val="20"/>
              </w:rPr>
              <w:t xml:space="preserve">Veterinarios de OCAs </w:t>
            </w:r>
          </w:p>
          <w:p w:rsidR="00A45A19" w:rsidRPr="00B91414" w:rsidRDefault="00DC1669" w:rsidP="00DA335B">
            <w:pPr>
              <w:spacing w:before="120" w:after="120"/>
              <w:rPr>
                <w:rFonts w:ascii="Arial" w:hAnsi="Arial" w:cs="Arial"/>
                <w:sz w:val="20"/>
                <w:szCs w:val="20"/>
              </w:rPr>
            </w:pPr>
            <w:r>
              <w:rPr>
                <w:rFonts w:ascii="Arial" w:hAnsi="Arial" w:cs="Arial"/>
                <w:sz w:val="20"/>
                <w:szCs w:val="20"/>
              </w:rPr>
              <w:t>Veterinarios  Servicios Centrales</w:t>
            </w:r>
          </w:p>
        </w:tc>
        <w:tc>
          <w:tcPr>
            <w:tcW w:w="3503"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rPr>
                <w:rFonts w:ascii="Arial" w:hAnsi="Arial" w:cs="Arial"/>
                <w:sz w:val="20"/>
                <w:szCs w:val="20"/>
              </w:rPr>
            </w:pPr>
            <w:r w:rsidRPr="00B91414">
              <w:rPr>
                <w:rFonts w:ascii="Arial" w:hAnsi="Arial" w:cs="Arial"/>
                <w:sz w:val="20"/>
                <w:szCs w:val="20"/>
              </w:rPr>
              <w:t>Servicio de Sanidad y Producción Animal</w:t>
            </w:r>
          </w:p>
        </w:tc>
        <w:tc>
          <w:tcPr>
            <w:tcW w:w="2465"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rPr>
                <w:rFonts w:ascii="Arial" w:hAnsi="Arial" w:cs="Arial"/>
                <w:sz w:val="20"/>
                <w:szCs w:val="20"/>
              </w:rPr>
            </w:pPr>
            <w:r w:rsidRPr="00B91414">
              <w:rPr>
                <w:rFonts w:ascii="Arial" w:hAnsi="Arial" w:cs="Arial"/>
                <w:sz w:val="20"/>
                <w:szCs w:val="20"/>
              </w:rPr>
              <w:t>Dirección General de Ganadería</w:t>
            </w:r>
          </w:p>
        </w:tc>
      </w:tr>
      <w:tr w:rsidR="00A45A19" w:rsidRPr="00BD1197">
        <w:trPr>
          <w:tblCellSpacing w:w="20" w:type="dxa"/>
        </w:trPr>
        <w:tc>
          <w:tcPr>
            <w:tcW w:w="3309"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D1197" w:rsidRDefault="00A45A19" w:rsidP="00DA335B">
            <w:pPr>
              <w:spacing w:before="120" w:after="120"/>
              <w:rPr>
                <w:rFonts w:ascii="Arial" w:hAnsi="Arial" w:cs="Arial"/>
                <w:sz w:val="20"/>
                <w:szCs w:val="20"/>
              </w:rPr>
            </w:pPr>
            <w:r w:rsidRPr="00BD1197">
              <w:rPr>
                <w:rFonts w:ascii="Arial" w:hAnsi="Arial" w:cs="Arial"/>
                <w:sz w:val="20"/>
                <w:szCs w:val="20"/>
              </w:rPr>
              <w:t>Coordinadores Veterinarios</w:t>
            </w:r>
          </w:p>
        </w:tc>
        <w:tc>
          <w:tcPr>
            <w:tcW w:w="3503"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D1197" w:rsidRDefault="00A45A19" w:rsidP="00DA335B">
            <w:pPr>
              <w:spacing w:before="120" w:after="120"/>
              <w:rPr>
                <w:rFonts w:ascii="Verdana" w:hAnsi="Verdana"/>
                <w:sz w:val="20"/>
                <w:szCs w:val="20"/>
              </w:rPr>
            </w:pPr>
            <w:r w:rsidRPr="00BD1197">
              <w:rPr>
                <w:rFonts w:ascii="Arial" w:hAnsi="Arial" w:cs="Arial"/>
                <w:sz w:val="20"/>
                <w:szCs w:val="20"/>
              </w:rPr>
              <w:t>Servicio de Sanidad y Producción Animal</w:t>
            </w:r>
          </w:p>
        </w:tc>
        <w:tc>
          <w:tcPr>
            <w:tcW w:w="2465"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D1197" w:rsidRDefault="00A45A19" w:rsidP="00DA335B">
            <w:pPr>
              <w:spacing w:before="120" w:after="120"/>
              <w:rPr>
                <w:rFonts w:ascii="Arial" w:hAnsi="Arial" w:cs="Arial"/>
                <w:sz w:val="20"/>
                <w:szCs w:val="20"/>
              </w:rPr>
            </w:pPr>
            <w:r w:rsidRPr="00BD1197">
              <w:rPr>
                <w:rFonts w:ascii="Arial" w:hAnsi="Arial" w:cs="Arial"/>
                <w:sz w:val="20"/>
                <w:szCs w:val="20"/>
              </w:rPr>
              <w:t>Dirección General de Ganadería</w:t>
            </w:r>
          </w:p>
        </w:tc>
      </w:tr>
    </w:tbl>
    <w:p w:rsidR="00A45A19" w:rsidRDefault="00A45A19" w:rsidP="00DA335B">
      <w:pPr>
        <w:spacing w:before="120" w:after="120"/>
        <w:jc w:val="both"/>
        <w:rPr>
          <w:rFonts w:ascii="Verdana" w:hAnsi="Verdana" w:cs="Arial"/>
          <w:b/>
          <w:sz w:val="28"/>
          <w:szCs w:val="28"/>
        </w:rPr>
      </w:pPr>
    </w:p>
    <w:p w:rsidR="009F191B" w:rsidRDefault="009F191B">
      <w:pPr>
        <w:rPr>
          <w:rFonts w:ascii="Verdana" w:hAnsi="Verdana" w:cs="Arial"/>
          <w:b/>
          <w:sz w:val="28"/>
          <w:szCs w:val="28"/>
        </w:rPr>
      </w:pPr>
      <w:r>
        <w:rPr>
          <w:rFonts w:ascii="Verdana" w:hAnsi="Verdana" w:cs="Arial"/>
          <w:b/>
          <w:sz w:val="28"/>
          <w:szCs w:val="28"/>
        </w:rPr>
        <w:br w:type="page"/>
      </w:r>
    </w:p>
    <w:p w:rsidR="00A45A19" w:rsidRPr="00BD1197" w:rsidRDefault="00A45A19" w:rsidP="00DA335B">
      <w:pPr>
        <w:spacing w:before="120" w:after="120"/>
        <w:jc w:val="both"/>
        <w:rPr>
          <w:rFonts w:ascii="Arial" w:hAnsi="Arial" w:cs="Arial"/>
          <w:b/>
          <w:sz w:val="28"/>
          <w:szCs w:val="28"/>
        </w:rPr>
      </w:pPr>
      <w:r w:rsidRPr="00BD1197">
        <w:rPr>
          <w:rFonts w:ascii="Arial" w:hAnsi="Arial" w:cs="Arial"/>
          <w:b/>
          <w:sz w:val="28"/>
          <w:szCs w:val="28"/>
        </w:rPr>
        <w:lastRenderedPageBreak/>
        <w:t>DOCUMENTOS RELACIONADOS</w:t>
      </w:r>
    </w:p>
    <w:p w:rsidR="00A45A19" w:rsidRDefault="00A45A19" w:rsidP="00DA335B">
      <w:pPr>
        <w:spacing w:before="120" w:after="120"/>
        <w:jc w:val="both"/>
        <w:rPr>
          <w:rFonts w:ascii="Verdana" w:hAnsi="Verdana" w:cs="Arial"/>
        </w:rPr>
      </w:pPr>
    </w:p>
    <w:tbl>
      <w:tblPr>
        <w:tblW w:w="9464"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683"/>
        <w:gridCol w:w="7781"/>
      </w:tblGrid>
      <w:tr w:rsidR="00A45A19" w:rsidRPr="00B91414">
        <w:trPr>
          <w:trHeight w:val="468"/>
          <w:tblCellSpacing w:w="20" w:type="dxa"/>
        </w:trPr>
        <w:tc>
          <w:tcPr>
            <w:tcW w:w="1623"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jc w:val="center"/>
              <w:rPr>
                <w:rFonts w:ascii="Arial" w:hAnsi="Arial" w:cs="Arial"/>
                <w:b/>
                <w:sz w:val="22"/>
                <w:szCs w:val="22"/>
              </w:rPr>
            </w:pPr>
            <w:r w:rsidRPr="00B91414">
              <w:rPr>
                <w:rFonts w:ascii="Arial" w:hAnsi="Arial" w:cs="Arial"/>
                <w:b/>
                <w:sz w:val="22"/>
                <w:szCs w:val="22"/>
              </w:rPr>
              <w:t>CÓDIGO</w:t>
            </w:r>
          </w:p>
        </w:tc>
        <w:tc>
          <w:tcPr>
            <w:tcW w:w="7721"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jc w:val="center"/>
              <w:rPr>
                <w:rFonts w:ascii="Arial" w:hAnsi="Arial" w:cs="Arial"/>
                <w:b/>
                <w:sz w:val="22"/>
                <w:szCs w:val="22"/>
              </w:rPr>
            </w:pPr>
            <w:r w:rsidRPr="00B91414">
              <w:rPr>
                <w:rFonts w:ascii="Arial" w:hAnsi="Arial" w:cs="Arial"/>
                <w:b/>
                <w:sz w:val="22"/>
                <w:szCs w:val="22"/>
              </w:rPr>
              <w:t>NOMBRE DOCUMENTO</w:t>
            </w:r>
          </w:p>
        </w:tc>
      </w:tr>
      <w:tr w:rsidR="00A45A19" w:rsidRPr="00B91414" w:rsidTr="002E30D9">
        <w:trPr>
          <w:trHeight w:val="460"/>
          <w:tblCellSpacing w:w="20" w:type="dxa"/>
        </w:trPr>
        <w:tc>
          <w:tcPr>
            <w:tcW w:w="1623"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rPr>
                <w:rFonts w:ascii="Arial" w:hAnsi="Arial" w:cs="Arial"/>
                <w:sz w:val="20"/>
                <w:szCs w:val="20"/>
              </w:rPr>
            </w:pPr>
            <w:r w:rsidRPr="00B91414">
              <w:rPr>
                <w:rFonts w:ascii="Arial" w:hAnsi="Arial" w:cs="Arial"/>
                <w:sz w:val="20"/>
                <w:szCs w:val="20"/>
              </w:rPr>
              <w:t>ANEXO I</w:t>
            </w:r>
          </w:p>
        </w:tc>
        <w:tc>
          <w:tcPr>
            <w:tcW w:w="7721"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2076CE" w:rsidP="00DA335B">
            <w:pPr>
              <w:spacing w:before="120" w:after="120"/>
              <w:rPr>
                <w:rFonts w:ascii="Arial" w:hAnsi="Arial" w:cs="Arial"/>
                <w:sz w:val="20"/>
                <w:szCs w:val="20"/>
              </w:rPr>
            </w:pPr>
            <w:r>
              <w:rPr>
                <w:rFonts w:ascii="Arial" w:hAnsi="Arial" w:cs="Arial"/>
                <w:sz w:val="20"/>
                <w:szCs w:val="20"/>
              </w:rPr>
              <w:t>BASE DE DATOS</w:t>
            </w:r>
            <w:r w:rsidR="00BA5B36" w:rsidRPr="00B91414">
              <w:rPr>
                <w:rFonts w:ascii="Arial" w:hAnsi="Arial" w:cs="Arial"/>
                <w:sz w:val="20"/>
                <w:szCs w:val="20"/>
              </w:rPr>
              <w:t xml:space="preserve"> </w:t>
            </w:r>
            <w:r w:rsidR="00E95044">
              <w:rPr>
                <w:rFonts w:ascii="Arial" w:hAnsi="Arial" w:cs="Arial"/>
                <w:sz w:val="20"/>
                <w:szCs w:val="20"/>
              </w:rPr>
              <w:t>DE VETERINARIOS</w:t>
            </w:r>
            <w:r>
              <w:rPr>
                <w:rFonts w:ascii="Arial" w:hAnsi="Arial" w:cs="Arial"/>
                <w:sz w:val="20"/>
                <w:szCs w:val="20"/>
              </w:rPr>
              <w:t>/BOTIQUINES VETERINARIOS</w:t>
            </w:r>
            <w:r w:rsidR="00E95044">
              <w:rPr>
                <w:rFonts w:ascii="Arial" w:hAnsi="Arial" w:cs="Arial"/>
                <w:sz w:val="20"/>
                <w:szCs w:val="20"/>
              </w:rPr>
              <w:t xml:space="preserve"> </w:t>
            </w:r>
          </w:p>
        </w:tc>
      </w:tr>
      <w:tr w:rsidR="00A45A19" w:rsidRPr="00B91414" w:rsidTr="00E7270C">
        <w:trPr>
          <w:trHeight w:val="632"/>
          <w:tblCellSpacing w:w="20" w:type="dxa"/>
        </w:trPr>
        <w:tc>
          <w:tcPr>
            <w:tcW w:w="1623"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A45A19" w:rsidP="00DA335B">
            <w:pPr>
              <w:spacing w:before="120" w:after="120"/>
              <w:rPr>
                <w:rFonts w:ascii="Arial" w:hAnsi="Arial" w:cs="Arial"/>
                <w:sz w:val="20"/>
                <w:szCs w:val="20"/>
              </w:rPr>
            </w:pPr>
            <w:r w:rsidRPr="00B91414">
              <w:rPr>
                <w:rFonts w:ascii="Arial" w:hAnsi="Arial" w:cs="Arial"/>
                <w:sz w:val="20"/>
                <w:szCs w:val="20"/>
              </w:rPr>
              <w:t>ANEXO II</w:t>
            </w:r>
          </w:p>
        </w:tc>
        <w:tc>
          <w:tcPr>
            <w:tcW w:w="7721" w:type="dxa"/>
            <w:tcBorders>
              <w:top w:val="outset" w:sz="6" w:space="0" w:color="auto"/>
              <w:left w:val="outset" w:sz="6" w:space="0" w:color="auto"/>
              <w:bottom w:val="outset" w:sz="6" w:space="0" w:color="auto"/>
              <w:right w:val="outset" w:sz="6" w:space="0" w:color="auto"/>
            </w:tcBorders>
            <w:shd w:val="clear" w:color="auto" w:fill="auto"/>
            <w:vAlign w:val="center"/>
          </w:tcPr>
          <w:p w:rsidR="00A45A19" w:rsidRPr="00B91414" w:rsidRDefault="00BA5B36" w:rsidP="00DA335B">
            <w:pPr>
              <w:spacing w:before="120" w:after="120"/>
              <w:rPr>
                <w:rFonts w:ascii="Arial" w:hAnsi="Arial" w:cs="Arial"/>
                <w:sz w:val="20"/>
                <w:szCs w:val="20"/>
              </w:rPr>
            </w:pPr>
            <w:r w:rsidRPr="00B91414">
              <w:rPr>
                <w:rFonts w:ascii="Arial" w:hAnsi="Arial" w:cs="Arial"/>
                <w:sz w:val="20"/>
                <w:szCs w:val="20"/>
              </w:rPr>
              <w:t xml:space="preserve">PROTOCOLO </w:t>
            </w:r>
            <w:r w:rsidR="002076CE">
              <w:rPr>
                <w:rFonts w:ascii="Arial" w:hAnsi="Arial" w:cs="Arial"/>
                <w:sz w:val="20"/>
                <w:szCs w:val="20"/>
              </w:rPr>
              <w:t xml:space="preserve">DE </w:t>
            </w:r>
            <w:r w:rsidRPr="00B91414">
              <w:rPr>
                <w:rFonts w:ascii="Arial" w:hAnsi="Arial" w:cs="Arial"/>
                <w:sz w:val="20"/>
                <w:szCs w:val="20"/>
              </w:rPr>
              <w:t xml:space="preserve">INSPECCIÓN </w:t>
            </w:r>
            <w:r w:rsidR="00E95044">
              <w:rPr>
                <w:rFonts w:ascii="Arial" w:hAnsi="Arial" w:cs="Arial"/>
                <w:sz w:val="20"/>
                <w:szCs w:val="20"/>
              </w:rPr>
              <w:t xml:space="preserve"> E</w:t>
            </w:r>
            <w:r w:rsidR="009F6CF2">
              <w:rPr>
                <w:rFonts w:ascii="Arial" w:hAnsi="Arial" w:cs="Arial"/>
                <w:sz w:val="20"/>
                <w:szCs w:val="20"/>
              </w:rPr>
              <w:t xml:space="preserve">JERCICIO </w:t>
            </w:r>
            <w:r w:rsidR="00E95044">
              <w:rPr>
                <w:rFonts w:ascii="Arial" w:hAnsi="Arial" w:cs="Arial"/>
                <w:sz w:val="20"/>
                <w:szCs w:val="20"/>
              </w:rPr>
              <w:t>P</w:t>
            </w:r>
            <w:r w:rsidR="009F6CF2">
              <w:rPr>
                <w:rFonts w:ascii="Arial" w:hAnsi="Arial" w:cs="Arial"/>
                <w:sz w:val="20"/>
                <w:szCs w:val="20"/>
              </w:rPr>
              <w:t xml:space="preserve">ROFESIONAL </w:t>
            </w:r>
            <w:r w:rsidR="00E95044">
              <w:rPr>
                <w:rFonts w:ascii="Arial" w:hAnsi="Arial" w:cs="Arial"/>
                <w:sz w:val="20"/>
                <w:szCs w:val="20"/>
              </w:rPr>
              <w:t>V</w:t>
            </w:r>
            <w:r w:rsidR="009F6CF2">
              <w:rPr>
                <w:rFonts w:ascii="Arial" w:hAnsi="Arial" w:cs="Arial"/>
                <w:sz w:val="20"/>
                <w:szCs w:val="20"/>
              </w:rPr>
              <w:t>ETERINARIO</w:t>
            </w:r>
            <w:r w:rsidR="002E30D9">
              <w:rPr>
                <w:rFonts w:ascii="Arial" w:hAnsi="Arial" w:cs="Arial"/>
                <w:sz w:val="20"/>
                <w:szCs w:val="20"/>
              </w:rPr>
              <w:t>- BOTIQUIN VETERINARIO</w:t>
            </w:r>
          </w:p>
        </w:tc>
      </w:tr>
      <w:tr w:rsidR="00BA5B36" w:rsidRPr="00B91414" w:rsidTr="00E7270C">
        <w:trPr>
          <w:trHeight w:val="668"/>
          <w:tblCellSpacing w:w="20" w:type="dxa"/>
        </w:trPr>
        <w:tc>
          <w:tcPr>
            <w:tcW w:w="1623" w:type="dxa"/>
            <w:tcBorders>
              <w:top w:val="outset" w:sz="6" w:space="0" w:color="auto"/>
              <w:left w:val="outset" w:sz="6" w:space="0" w:color="auto"/>
              <w:bottom w:val="outset" w:sz="6" w:space="0" w:color="auto"/>
              <w:right w:val="outset" w:sz="6" w:space="0" w:color="auto"/>
            </w:tcBorders>
            <w:shd w:val="clear" w:color="auto" w:fill="auto"/>
            <w:vAlign w:val="center"/>
          </w:tcPr>
          <w:p w:rsidR="00BA5B36" w:rsidRPr="00B91414" w:rsidRDefault="00BA5B36" w:rsidP="00DA335B">
            <w:pPr>
              <w:spacing w:before="120" w:after="120"/>
              <w:rPr>
                <w:rFonts w:ascii="Arial" w:hAnsi="Arial" w:cs="Arial"/>
                <w:sz w:val="20"/>
                <w:szCs w:val="20"/>
              </w:rPr>
            </w:pPr>
            <w:r w:rsidRPr="00B91414">
              <w:rPr>
                <w:rFonts w:ascii="Arial" w:hAnsi="Arial" w:cs="Arial"/>
                <w:sz w:val="20"/>
                <w:szCs w:val="20"/>
              </w:rPr>
              <w:t>ANEXO III</w:t>
            </w:r>
          </w:p>
        </w:tc>
        <w:tc>
          <w:tcPr>
            <w:tcW w:w="7721" w:type="dxa"/>
            <w:tcBorders>
              <w:top w:val="outset" w:sz="6" w:space="0" w:color="auto"/>
              <w:left w:val="outset" w:sz="6" w:space="0" w:color="auto"/>
              <w:bottom w:val="outset" w:sz="6" w:space="0" w:color="auto"/>
              <w:right w:val="outset" w:sz="6" w:space="0" w:color="auto"/>
            </w:tcBorders>
            <w:shd w:val="clear" w:color="auto" w:fill="auto"/>
            <w:vAlign w:val="center"/>
          </w:tcPr>
          <w:p w:rsidR="00BA5B36" w:rsidRPr="00B91414" w:rsidRDefault="002E30D9" w:rsidP="00DA335B">
            <w:pPr>
              <w:spacing w:before="120" w:after="120"/>
              <w:rPr>
                <w:rFonts w:ascii="Arial" w:hAnsi="Arial" w:cs="Arial"/>
                <w:sz w:val="20"/>
                <w:szCs w:val="20"/>
              </w:rPr>
            </w:pPr>
            <w:r w:rsidRPr="00B91414">
              <w:rPr>
                <w:rFonts w:ascii="Arial" w:hAnsi="Arial" w:cs="Arial"/>
                <w:sz w:val="20"/>
                <w:szCs w:val="20"/>
              </w:rPr>
              <w:t xml:space="preserve">PROTOCOLO </w:t>
            </w:r>
            <w:r>
              <w:rPr>
                <w:rFonts w:ascii="Arial" w:hAnsi="Arial" w:cs="Arial"/>
                <w:sz w:val="20"/>
                <w:szCs w:val="20"/>
              </w:rPr>
              <w:t xml:space="preserve">DE </w:t>
            </w:r>
            <w:r w:rsidRPr="00B91414">
              <w:rPr>
                <w:rFonts w:ascii="Arial" w:hAnsi="Arial" w:cs="Arial"/>
                <w:sz w:val="20"/>
                <w:szCs w:val="20"/>
              </w:rPr>
              <w:t xml:space="preserve">INSPECCIÓN </w:t>
            </w:r>
            <w:r>
              <w:rPr>
                <w:rFonts w:ascii="Arial" w:hAnsi="Arial" w:cs="Arial"/>
                <w:sz w:val="20"/>
                <w:szCs w:val="20"/>
              </w:rPr>
              <w:t xml:space="preserve"> EJERCICIO PROFESIONAL VETERINARIO- VETERINARIO CLINICO</w:t>
            </w:r>
          </w:p>
        </w:tc>
      </w:tr>
      <w:tr w:rsidR="002E30D9" w:rsidRPr="00B91414" w:rsidTr="002E30D9">
        <w:trPr>
          <w:trHeight w:val="460"/>
          <w:tblCellSpacing w:w="20" w:type="dxa"/>
        </w:trPr>
        <w:tc>
          <w:tcPr>
            <w:tcW w:w="1623" w:type="dxa"/>
            <w:tcBorders>
              <w:top w:val="outset" w:sz="6" w:space="0" w:color="auto"/>
              <w:left w:val="outset" w:sz="6" w:space="0" w:color="auto"/>
              <w:bottom w:val="outset" w:sz="6" w:space="0" w:color="auto"/>
              <w:right w:val="outset" w:sz="6" w:space="0" w:color="auto"/>
            </w:tcBorders>
            <w:shd w:val="clear" w:color="auto" w:fill="auto"/>
            <w:vAlign w:val="center"/>
          </w:tcPr>
          <w:p w:rsidR="002E30D9" w:rsidRPr="00B91414" w:rsidRDefault="002E30D9" w:rsidP="00DA335B">
            <w:pPr>
              <w:spacing w:before="120" w:after="120"/>
              <w:rPr>
                <w:rFonts w:ascii="Arial" w:hAnsi="Arial" w:cs="Arial"/>
                <w:sz w:val="20"/>
                <w:szCs w:val="20"/>
              </w:rPr>
            </w:pPr>
            <w:r w:rsidRPr="00B91414">
              <w:rPr>
                <w:rFonts w:ascii="Arial" w:hAnsi="Arial" w:cs="Arial"/>
                <w:sz w:val="20"/>
                <w:szCs w:val="20"/>
              </w:rPr>
              <w:t xml:space="preserve">ANEXO </w:t>
            </w:r>
            <w:r>
              <w:rPr>
                <w:rFonts w:ascii="Arial" w:hAnsi="Arial" w:cs="Arial"/>
                <w:sz w:val="20"/>
                <w:szCs w:val="20"/>
              </w:rPr>
              <w:t>IV</w:t>
            </w:r>
          </w:p>
        </w:tc>
        <w:tc>
          <w:tcPr>
            <w:tcW w:w="7721" w:type="dxa"/>
            <w:tcBorders>
              <w:top w:val="outset" w:sz="6" w:space="0" w:color="auto"/>
              <w:left w:val="outset" w:sz="6" w:space="0" w:color="auto"/>
              <w:bottom w:val="outset" w:sz="6" w:space="0" w:color="auto"/>
              <w:right w:val="outset" w:sz="6" w:space="0" w:color="auto"/>
            </w:tcBorders>
            <w:shd w:val="clear" w:color="auto" w:fill="auto"/>
            <w:vAlign w:val="center"/>
          </w:tcPr>
          <w:p w:rsidR="002E30D9" w:rsidRDefault="002E30D9" w:rsidP="00DA335B">
            <w:pPr>
              <w:spacing w:before="120" w:after="120"/>
              <w:rPr>
                <w:rFonts w:ascii="Arial" w:hAnsi="Arial" w:cs="Arial"/>
                <w:sz w:val="20"/>
                <w:szCs w:val="20"/>
              </w:rPr>
            </w:pPr>
            <w:r>
              <w:rPr>
                <w:rFonts w:ascii="Arial" w:hAnsi="Arial" w:cs="Arial"/>
                <w:sz w:val="20"/>
                <w:szCs w:val="20"/>
              </w:rPr>
              <w:t>ACTA DE INSPECCION GENERICA</w:t>
            </w:r>
          </w:p>
        </w:tc>
      </w:tr>
      <w:tr w:rsidR="002E30D9" w:rsidRPr="00B91414" w:rsidTr="00E7270C">
        <w:trPr>
          <w:trHeight w:val="585"/>
          <w:tblCellSpacing w:w="20" w:type="dxa"/>
        </w:trPr>
        <w:tc>
          <w:tcPr>
            <w:tcW w:w="1623" w:type="dxa"/>
            <w:tcBorders>
              <w:top w:val="outset" w:sz="6" w:space="0" w:color="auto"/>
              <w:left w:val="outset" w:sz="6" w:space="0" w:color="auto"/>
              <w:bottom w:val="outset" w:sz="6" w:space="0" w:color="auto"/>
              <w:right w:val="outset" w:sz="6" w:space="0" w:color="auto"/>
            </w:tcBorders>
            <w:shd w:val="clear" w:color="auto" w:fill="auto"/>
            <w:vAlign w:val="center"/>
          </w:tcPr>
          <w:p w:rsidR="002E30D9" w:rsidRPr="00B91414" w:rsidRDefault="002E30D9" w:rsidP="00DA335B">
            <w:pPr>
              <w:spacing w:before="120" w:after="120"/>
              <w:rPr>
                <w:rFonts w:ascii="Arial" w:hAnsi="Arial" w:cs="Arial"/>
                <w:sz w:val="20"/>
                <w:szCs w:val="20"/>
              </w:rPr>
            </w:pPr>
            <w:r w:rsidRPr="00B91414">
              <w:rPr>
                <w:rFonts w:ascii="Arial" w:hAnsi="Arial" w:cs="Arial"/>
                <w:sz w:val="20"/>
                <w:szCs w:val="20"/>
              </w:rPr>
              <w:t xml:space="preserve">ANEXO </w:t>
            </w:r>
            <w:r>
              <w:rPr>
                <w:rFonts w:ascii="Arial" w:hAnsi="Arial" w:cs="Arial"/>
                <w:sz w:val="20"/>
                <w:szCs w:val="20"/>
              </w:rPr>
              <w:t>V</w:t>
            </w:r>
          </w:p>
        </w:tc>
        <w:tc>
          <w:tcPr>
            <w:tcW w:w="7721" w:type="dxa"/>
            <w:tcBorders>
              <w:top w:val="outset" w:sz="6" w:space="0" w:color="auto"/>
              <w:left w:val="outset" w:sz="6" w:space="0" w:color="auto"/>
              <w:bottom w:val="outset" w:sz="6" w:space="0" w:color="auto"/>
              <w:right w:val="outset" w:sz="6" w:space="0" w:color="auto"/>
            </w:tcBorders>
            <w:shd w:val="clear" w:color="auto" w:fill="auto"/>
            <w:vAlign w:val="center"/>
          </w:tcPr>
          <w:p w:rsidR="002E30D9" w:rsidRDefault="00E7270C" w:rsidP="00DA335B">
            <w:pPr>
              <w:spacing w:before="120" w:after="120"/>
              <w:rPr>
                <w:rFonts w:ascii="Arial" w:hAnsi="Arial" w:cs="Arial"/>
                <w:sz w:val="20"/>
                <w:szCs w:val="20"/>
              </w:rPr>
            </w:pPr>
            <w:r w:rsidRPr="00E7270C">
              <w:rPr>
                <w:rFonts w:ascii="Arial" w:hAnsi="Arial" w:cs="Arial"/>
                <w:sz w:val="20"/>
                <w:szCs w:val="20"/>
              </w:rPr>
              <w:t>DOCUMENTO DE PREGUNTAS Y RESPUESTAS SOBRE LA PRESCRIPCIÓN EXCEPCIONAL POR VACÍO TERAPÉUTICO.</w:t>
            </w:r>
          </w:p>
        </w:tc>
      </w:tr>
    </w:tbl>
    <w:p w:rsidR="009F191B" w:rsidRDefault="009F191B" w:rsidP="00DA335B">
      <w:pPr>
        <w:spacing w:before="120" w:after="120" w:line="360" w:lineRule="auto"/>
        <w:rPr>
          <w:rFonts w:ascii="Arial" w:hAnsi="Arial" w:cs="Arial"/>
          <w:b/>
        </w:rPr>
      </w:pPr>
    </w:p>
    <w:p w:rsidR="009F191B" w:rsidRDefault="009F191B">
      <w:pPr>
        <w:rPr>
          <w:rFonts w:ascii="Arial" w:hAnsi="Arial" w:cs="Arial"/>
          <w:b/>
        </w:rPr>
      </w:pPr>
      <w:r>
        <w:rPr>
          <w:rFonts w:ascii="Arial" w:hAnsi="Arial" w:cs="Arial"/>
          <w:b/>
        </w:rPr>
        <w:br w:type="page"/>
      </w:r>
    </w:p>
    <w:p w:rsidR="00675E2A" w:rsidRDefault="00675E2A" w:rsidP="00DA335B">
      <w:pPr>
        <w:spacing w:before="120" w:after="120" w:line="360" w:lineRule="auto"/>
        <w:rPr>
          <w:rFonts w:ascii="Arial" w:hAnsi="Arial" w:cs="Arial"/>
          <w:b/>
        </w:rPr>
      </w:pPr>
    </w:p>
    <w:p w:rsidR="00C12A94" w:rsidRPr="00C12A94" w:rsidRDefault="00C12A94" w:rsidP="00DA335B">
      <w:pPr>
        <w:pStyle w:val="TtulodeTDC"/>
        <w:spacing w:before="120" w:after="120"/>
        <w:rPr>
          <w:rFonts w:ascii="Arial" w:hAnsi="Arial" w:cs="Arial"/>
          <w:color w:val="auto"/>
          <w:sz w:val="22"/>
          <w:szCs w:val="22"/>
        </w:rPr>
      </w:pPr>
      <w:r w:rsidRPr="00C12A94">
        <w:rPr>
          <w:rFonts w:ascii="Arial" w:hAnsi="Arial" w:cs="Arial"/>
          <w:color w:val="auto"/>
          <w:sz w:val="22"/>
          <w:szCs w:val="22"/>
        </w:rPr>
        <w:t>INDICE</w:t>
      </w:r>
    </w:p>
    <w:p w:rsidR="007E73DD" w:rsidRPr="009F191B" w:rsidRDefault="00C12A94">
      <w:pPr>
        <w:pStyle w:val="TDC1"/>
        <w:tabs>
          <w:tab w:val="left" w:pos="440"/>
        </w:tabs>
        <w:rPr>
          <w:rFonts w:ascii="Arial" w:eastAsiaTheme="minorEastAsia" w:hAnsi="Arial" w:cs="Arial"/>
          <w:b w:val="0"/>
          <w:noProof/>
        </w:rPr>
      </w:pPr>
      <w:r w:rsidRPr="00224776">
        <w:rPr>
          <w:rFonts w:ascii="Arial" w:hAnsi="Arial" w:cs="Arial"/>
        </w:rPr>
        <w:fldChar w:fldCharType="begin"/>
      </w:r>
      <w:r w:rsidRPr="00224776">
        <w:rPr>
          <w:rFonts w:ascii="Arial" w:hAnsi="Arial" w:cs="Arial"/>
        </w:rPr>
        <w:instrText xml:space="preserve"> TOC \o "1-3" \h \z \u </w:instrText>
      </w:r>
      <w:r w:rsidRPr="00224776">
        <w:rPr>
          <w:rFonts w:ascii="Arial" w:hAnsi="Arial" w:cs="Arial"/>
        </w:rPr>
        <w:fldChar w:fldCharType="separate"/>
      </w:r>
      <w:hyperlink w:anchor="_Toc6916927" w:history="1">
        <w:r w:rsidR="007E73DD" w:rsidRPr="009F191B">
          <w:rPr>
            <w:rStyle w:val="Hipervnculo"/>
            <w:rFonts w:ascii="Arial" w:hAnsi="Arial" w:cs="Arial"/>
            <w:noProof/>
          </w:rPr>
          <w:t>1.</w:t>
        </w:r>
        <w:r w:rsidR="007E73DD" w:rsidRPr="009F191B">
          <w:rPr>
            <w:rFonts w:ascii="Arial" w:eastAsiaTheme="minorEastAsia" w:hAnsi="Arial" w:cs="Arial"/>
            <w:b w:val="0"/>
            <w:noProof/>
          </w:rPr>
          <w:tab/>
        </w:r>
        <w:r w:rsidR="007E73DD" w:rsidRPr="009F191B">
          <w:rPr>
            <w:rStyle w:val="Hipervnculo"/>
            <w:rFonts w:ascii="Arial" w:hAnsi="Arial" w:cs="Arial"/>
            <w:noProof/>
          </w:rPr>
          <w:t>INTRODUCCIÓN</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_Toc6916927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5</w:t>
        </w:r>
        <w:r w:rsidR="007E73DD" w:rsidRPr="009F191B">
          <w:rPr>
            <w:rFonts w:ascii="Arial" w:hAnsi="Arial" w:cs="Arial"/>
            <w:noProof/>
            <w:webHidden/>
          </w:rPr>
          <w:fldChar w:fldCharType="end"/>
        </w:r>
      </w:hyperlink>
    </w:p>
    <w:p w:rsidR="007E73DD" w:rsidRPr="009F191B" w:rsidRDefault="009F191B">
      <w:pPr>
        <w:pStyle w:val="TDC1"/>
        <w:tabs>
          <w:tab w:val="left" w:pos="440"/>
        </w:tabs>
        <w:rPr>
          <w:rFonts w:ascii="Arial" w:eastAsiaTheme="minorEastAsia" w:hAnsi="Arial" w:cs="Arial"/>
          <w:b w:val="0"/>
          <w:noProof/>
        </w:rPr>
      </w:pPr>
      <w:hyperlink w:anchor="_Toc6916928" w:history="1">
        <w:r w:rsidR="007E73DD" w:rsidRPr="009F191B">
          <w:rPr>
            <w:rStyle w:val="Hipervnculo"/>
            <w:rFonts w:ascii="Arial" w:hAnsi="Arial" w:cs="Arial"/>
            <w:noProof/>
          </w:rPr>
          <w:t>2.</w:t>
        </w:r>
        <w:r w:rsidR="007E73DD" w:rsidRPr="009F191B">
          <w:rPr>
            <w:rFonts w:ascii="Arial" w:eastAsiaTheme="minorEastAsia" w:hAnsi="Arial" w:cs="Arial"/>
            <w:b w:val="0"/>
            <w:noProof/>
          </w:rPr>
          <w:tab/>
        </w:r>
        <w:r w:rsidR="007E73DD" w:rsidRPr="009F191B">
          <w:rPr>
            <w:rStyle w:val="Hipervnculo"/>
            <w:rFonts w:ascii="Arial" w:hAnsi="Arial" w:cs="Arial"/>
            <w:noProof/>
          </w:rPr>
          <w:t>NORMAS GENERALES DE LOS CONTROLES.</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_Toc6916928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5</w:t>
        </w:r>
        <w:r w:rsidR="007E73DD" w:rsidRPr="009F191B">
          <w:rPr>
            <w:rFonts w:ascii="Arial" w:hAnsi="Arial" w:cs="Arial"/>
            <w:noProof/>
            <w:webHidden/>
          </w:rPr>
          <w:fldChar w:fldCharType="end"/>
        </w:r>
      </w:hyperlink>
    </w:p>
    <w:p w:rsidR="007E73DD" w:rsidRPr="009F191B" w:rsidRDefault="009F191B">
      <w:pPr>
        <w:pStyle w:val="TDC1"/>
        <w:tabs>
          <w:tab w:val="left" w:pos="660"/>
        </w:tabs>
        <w:rPr>
          <w:rFonts w:ascii="Arial" w:eastAsiaTheme="minorEastAsia" w:hAnsi="Arial" w:cs="Arial"/>
          <w:b w:val="0"/>
          <w:noProof/>
        </w:rPr>
      </w:pPr>
      <w:hyperlink w:anchor="_Toc6916929" w:history="1">
        <w:r w:rsidR="007E73DD" w:rsidRPr="009F191B">
          <w:rPr>
            <w:rStyle w:val="Hipervnculo"/>
            <w:rFonts w:ascii="Arial" w:hAnsi="Arial" w:cs="Arial"/>
            <w:noProof/>
          </w:rPr>
          <w:t>2.1.</w:t>
        </w:r>
        <w:r w:rsidR="007E73DD" w:rsidRPr="009F191B">
          <w:rPr>
            <w:rFonts w:ascii="Arial" w:eastAsiaTheme="minorEastAsia" w:hAnsi="Arial" w:cs="Arial"/>
            <w:b w:val="0"/>
            <w:noProof/>
          </w:rPr>
          <w:tab/>
        </w:r>
        <w:r w:rsidR="007E73DD" w:rsidRPr="009F191B">
          <w:rPr>
            <w:rStyle w:val="Hipervnculo"/>
            <w:rFonts w:ascii="Arial" w:hAnsi="Arial" w:cs="Arial"/>
            <w:noProof/>
          </w:rPr>
          <w:t>Normativa básica</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_Toc6916929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5</w:t>
        </w:r>
        <w:r w:rsidR="007E73DD" w:rsidRPr="009F191B">
          <w:rPr>
            <w:rFonts w:ascii="Arial" w:hAnsi="Arial" w:cs="Arial"/>
            <w:noProof/>
            <w:webHidden/>
          </w:rPr>
          <w:fldChar w:fldCharType="end"/>
        </w:r>
      </w:hyperlink>
    </w:p>
    <w:p w:rsidR="007E73DD" w:rsidRPr="009F191B" w:rsidRDefault="009F191B">
      <w:pPr>
        <w:pStyle w:val="TDC1"/>
        <w:tabs>
          <w:tab w:val="left" w:pos="660"/>
        </w:tabs>
        <w:rPr>
          <w:rFonts w:ascii="Arial" w:eastAsiaTheme="minorEastAsia" w:hAnsi="Arial" w:cs="Arial"/>
          <w:b w:val="0"/>
          <w:noProof/>
        </w:rPr>
      </w:pPr>
      <w:hyperlink w:anchor="_Toc6916930" w:history="1">
        <w:r w:rsidR="007E73DD" w:rsidRPr="009F191B">
          <w:rPr>
            <w:rStyle w:val="Hipervnculo"/>
            <w:rFonts w:ascii="Arial" w:hAnsi="Arial" w:cs="Arial"/>
            <w:noProof/>
          </w:rPr>
          <w:t>2.2.</w:t>
        </w:r>
        <w:r w:rsidR="007E73DD" w:rsidRPr="009F191B">
          <w:rPr>
            <w:rFonts w:ascii="Arial" w:eastAsiaTheme="minorEastAsia" w:hAnsi="Arial" w:cs="Arial"/>
            <w:b w:val="0"/>
            <w:noProof/>
          </w:rPr>
          <w:tab/>
        </w:r>
        <w:r w:rsidR="007E73DD" w:rsidRPr="009F191B">
          <w:rPr>
            <w:rStyle w:val="Hipervnculo"/>
            <w:rFonts w:ascii="Arial" w:hAnsi="Arial" w:cs="Arial"/>
            <w:noProof/>
          </w:rPr>
          <w:t>Universo de control:</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_Toc6916930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5</w:t>
        </w:r>
        <w:r w:rsidR="007E73DD" w:rsidRPr="009F191B">
          <w:rPr>
            <w:rFonts w:ascii="Arial" w:hAnsi="Arial" w:cs="Arial"/>
            <w:noProof/>
            <w:webHidden/>
          </w:rPr>
          <w:fldChar w:fldCharType="end"/>
        </w:r>
      </w:hyperlink>
    </w:p>
    <w:p w:rsidR="007E73DD" w:rsidRPr="009F191B" w:rsidRDefault="009F191B">
      <w:pPr>
        <w:pStyle w:val="TDC1"/>
        <w:tabs>
          <w:tab w:val="left" w:pos="660"/>
        </w:tabs>
        <w:rPr>
          <w:rFonts w:ascii="Arial" w:eastAsiaTheme="minorEastAsia" w:hAnsi="Arial" w:cs="Arial"/>
          <w:b w:val="0"/>
          <w:noProof/>
        </w:rPr>
      </w:pPr>
      <w:hyperlink w:anchor="_Toc6916931" w:history="1">
        <w:r w:rsidR="007E73DD" w:rsidRPr="009F191B">
          <w:rPr>
            <w:rStyle w:val="Hipervnculo"/>
            <w:rFonts w:ascii="Arial" w:hAnsi="Arial" w:cs="Arial"/>
            <w:noProof/>
          </w:rPr>
          <w:t>2.3.</w:t>
        </w:r>
        <w:r w:rsidR="007E73DD" w:rsidRPr="009F191B">
          <w:rPr>
            <w:rFonts w:ascii="Arial" w:eastAsiaTheme="minorEastAsia" w:hAnsi="Arial" w:cs="Arial"/>
            <w:b w:val="0"/>
            <w:noProof/>
          </w:rPr>
          <w:tab/>
        </w:r>
        <w:r w:rsidR="007E73DD" w:rsidRPr="009F191B">
          <w:rPr>
            <w:rStyle w:val="Hipervnculo"/>
            <w:rFonts w:ascii="Arial" w:hAnsi="Arial" w:cs="Arial"/>
            <w:noProof/>
          </w:rPr>
          <w:t>Ámbito de control</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_Toc6916931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5</w:t>
        </w:r>
        <w:r w:rsidR="007E73DD" w:rsidRPr="009F191B">
          <w:rPr>
            <w:rFonts w:ascii="Arial" w:hAnsi="Arial" w:cs="Arial"/>
            <w:noProof/>
            <w:webHidden/>
          </w:rPr>
          <w:fldChar w:fldCharType="end"/>
        </w:r>
      </w:hyperlink>
    </w:p>
    <w:p w:rsidR="007E73DD" w:rsidRPr="009F191B" w:rsidRDefault="009F191B">
      <w:pPr>
        <w:pStyle w:val="TDC1"/>
        <w:tabs>
          <w:tab w:val="left" w:pos="660"/>
        </w:tabs>
        <w:rPr>
          <w:rFonts w:ascii="Arial" w:eastAsiaTheme="minorEastAsia" w:hAnsi="Arial" w:cs="Arial"/>
          <w:b w:val="0"/>
          <w:noProof/>
        </w:rPr>
      </w:pPr>
      <w:hyperlink w:anchor="_Toc6916932" w:history="1">
        <w:r w:rsidR="007E73DD" w:rsidRPr="009F191B">
          <w:rPr>
            <w:rStyle w:val="Hipervnculo"/>
            <w:rFonts w:ascii="Arial" w:hAnsi="Arial" w:cs="Arial"/>
            <w:noProof/>
          </w:rPr>
          <w:t>2.4.</w:t>
        </w:r>
        <w:r w:rsidR="007E73DD" w:rsidRPr="009F191B">
          <w:rPr>
            <w:rFonts w:ascii="Arial" w:eastAsiaTheme="minorEastAsia" w:hAnsi="Arial" w:cs="Arial"/>
            <w:b w:val="0"/>
            <w:noProof/>
          </w:rPr>
          <w:tab/>
        </w:r>
        <w:r w:rsidR="007E73DD" w:rsidRPr="009F191B">
          <w:rPr>
            <w:rStyle w:val="Hipervnculo"/>
            <w:rFonts w:ascii="Arial" w:hAnsi="Arial" w:cs="Arial"/>
            <w:noProof/>
          </w:rPr>
          <w:t>Naturaleza de los controles</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_Toc6916932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6</w:t>
        </w:r>
        <w:r w:rsidR="007E73DD" w:rsidRPr="009F191B">
          <w:rPr>
            <w:rFonts w:ascii="Arial" w:hAnsi="Arial" w:cs="Arial"/>
            <w:noProof/>
            <w:webHidden/>
          </w:rPr>
          <w:fldChar w:fldCharType="end"/>
        </w:r>
      </w:hyperlink>
    </w:p>
    <w:p w:rsidR="007E73DD" w:rsidRPr="009F191B" w:rsidRDefault="009F191B">
      <w:pPr>
        <w:pStyle w:val="TDC1"/>
        <w:tabs>
          <w:tab w:val="left" w:pos="660"/>
        </w:tabs>
        <w:rPr>
          <w:rFonts w:ascii="Arial" w:eastAsiaTheme="minorEastAsia" w:hAnsi="Arial" w:cs="Arial"/>
          <w:b w:val="0"/>
          <w:noProof/>
        </w:rPr>
      </w:pPr>
      <w:hyperlink w:anchor="_Toc6916933" w:history="1">
        <w:r w:rsidR="007E73DD" w:rsidRPr="009F191B">
          <w:rPr>
            <w:rStyle w:val="Hipervnculo"/>
            <w:rFonts w:ascii="Arial" w:hAnsi="Arial" w:cs="Arial"/>
            <w:noProof/>
          </w:rPr>
          <w:t>2.5.</w:t>
        </w:r>
        <w:r w:rsidR="007E73DD" w:rsidRPr="009F191B">
          <w:rPr>
            <w:rFonts w:ascii="Arial" w:eastAsiaTheme="minorEastAsia" w:hAnsi="Arial" w:cs="Arial"/>
            <w:b w:val="0"/>
            <w:noProof/>
          </w:rPr>
          <w:tab/>
        </w:r>
        <w:r w:rsidR="007E73DD" w:rsidRPr="009F191B">
          <w:rPr>
            <w:rStyle w:val="Hipervnculo"/>
            <w:rFonts w:ascii="Arial" w:hAnsi="Arial" w:cs="Arial"/>
            <w:noProof/>
          </w:rPr>
          <w:t>Procedimiento de inspección</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_Toc6916933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6</w:t>
        </w:r>
        <w:r w:rsidR="007E73DD" w:rsidRPr="009F191B">
          <w:rPr>
            <w:rFonts w:ascii="Arial" w:hAnsi="Arial" w:cs="Arial"/>
            <w:noProof/>
            <w:webHidden/>
          </w:rPr>
          <w:fldChar w:fldCharType="end"/>
        </w:r>
      </w:hyperlink>
    </w:p>
    <w:p w:rsidR="007E73DD" w:rsidRPr="009F191B" w:rsidRDefault="009F191B">
      <w:pPr>
        <w:pStyle w:val="TDC1"/>
        <w:tabs>
          <w:tab w:val="left" w:pos="440"/>
        </w:tabs>
        <w:rPr>
          <w:rFonts w:ascii="Arial" w:eastAsiaTheme="minorEastAsia" w:hAnsi="Arial" w:cs="Arial"/>
          <w:b w:val="0"/>
          <w:noProof/>
        </w:rPr>
      </w:pPr>
      <w:hyperlink w:anchor="_Toc6916934" w:history="1">
        <w:r w:rsidR="007E73DD" w:rsidRPr="009F191B">
          <w:rPr>
            <w:rStyle w:val="Hipervnculo"/>
            <w:rFonts w:ascii="Arial" w:hAnsi="Arial" w:cs="Arial"/>
            <w:noProof/>
          </w:rPr>
          <w:t>3.</w:t>
        </w:r>
        <w:r w:rsidR="007E73DD" w:rsidRPr="009F191B">
          <w:rPr>
            <w:rFonts w:ascii="Arial" w:eastAsiaTheme="minorEastAsia" w:hAnsi="Arial" w:cs="Arial"/>
            <w:b w:val="0"/>
            <w:noProof/>
          </w:rPr>
          <w:tab/>
        </w:r>
        <w:r w:rsidR="007E73DD" w:rsidRPr="009F191B">
          <w:rPr>
            <w:rStyle w:val="Hipervnculo"/>
            <w:rFonts w:ascii="Arial" w:hAnsi="Arial" w:cs="Arial"/>
            <w:noProof/>
          </w:rPr>
          <w:t>REQUISITOS DEL BOTIQUÍN VETERINARIO</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_Toc6916934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7</w:t>
        </w:r>
        <w:r w:rsidR="007E73DD" w:rsidRPr="009F191B">
          <w:rPr>
            <w:rFonts w:ascii="Arial" w:hAnsi="Arial" w:cs="Arial"/>
            <w:noProof/>
            <w:webHidden/>
          </w:rPr>
          <w:fldChar w:fldCharType="end"/>
        </w:r>
      </w:hyperlink>
    </w:p>
    <w:p w:rsidR="007E73DD" w:rsidRPr="009F191B" w:rsidRDefault="009F191B">
      <w:pPr>
        <w:pStyle w:val="TDC1"/>
        <w:tabs>
          <w:tab w:val="left" w:pos="440"/>
        </w:tabs>
        <w:rPr>
          <w:rFonts w:ascii="Arial" w:eastAsiaTheme="minorEastAsia" w:hAnsi="Arial" w:cs="Arial"/>
          <w:b w:val="0"/>
          <w:noProof/>
        </w:rPr>
      </w:pPr>
      <w:hyperlink w:anchor="_Toc6916935" w:history="1">
        <w:r w:rsidR="007E73DD" w:rsidRPr="009F191B">
          <w:rPr>
            <w:rStyle w:val="Hipervnculo"/>
            <w:rFonts w:ascii="Arial" w:hAnsi="Arial" w:cs="Arial"/>
            <w:noProof/>
          </w:rPr>
          <w:t>4.</w:t>
        </w:r>
        <w:r w:rsidR="007E73DD" w:rsidRPr="009F191B">
          <w:rPr>
            <w:rFonts w:ascii="Arial" w:eastAsiaTheme="minorEastAsia" w:hAnsi="Arial" w:cs="Arial"/>
            <w:b w:val="0"/>
            <w:noProof/>
          </w:rPr>
          <w:tab/>
        </w:r>
        <w:r w:rsidR="007E73DD" w:rsidRPr="009F191B">
          <w:rPr>
            <w:rStyle w:val="Hipervnculo"/>
            <w:rFonts w:ascii="Arial" w:hAnsi="Arial" w:cs="Arial"/>
            <w:noProof/>
          </w:rPr>
          <w:t>CONSERVACIÓN DE MEDICAMENTOS</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_Toc6916935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7</w:t>
        </w:r>
        <w:r w:rsidR="007E73DD" w:rsidRPr="009F191B">
          <w:rPr>
            <w:rFonts w:ascii="Arial" w:hAnsi="Arial" w:cs="Arial"/>
            <w:noProof/>
            <w:webHidden/>
          </w:rPr>
          <w:fldChar w:fldCharType="end"/>
        </w:r>
      </w:hyperlink>
    </w:p>
    <w:p w:rsidR="007E73DD" w:rsidRPr="009F191B" w:rsidRDefault="009F191B">
      <w:pPr>
        <w:pStyle w:val="TDC1"/>
        <w:tabs>
          <w:tab w:val="left" w:pos="440"/>
        </w:tabs>
        <w:rPr>
          <w:rFonts w:ascii="Arial" w:eastAsiaTheme="minorEastAsia" w:hAnsi="Arial" w:cs="Arial"/>
          <w:b w:val="0"/>
          <w:noProof/>
        </w:rPr>
      </w:pPr>
      <w:hyperlink w:anchor="_Toc6916936" w:history="1">
        <w:r w:rsidR="007E73DD" w:rsidRPr="009F191B">
          <w:rPr>
            <w:rStyle w:val="Hipervnculo"/>
            <w:rFonts w:ascii="Arial" w:hAnsi="Arial" w:cs="Arial"/>
            <w:noProof/>
          </w:rPr>
          <w:t>5.</w:t>
        </w:r>
        <w:r w:rsidR="007E73DD" w:rsidRPr="009F191B">
          <w:rPr>
            <w:rFonts w:ascii="Arial" w:eastAsiaTheme="minorEastAsia" w:hAnsi="Arial" w:cs="Arial"/>
            <w:b w:val="0"/>
            <w:noProof/>
          </w:rPr>
          <w:tab/>
        </w:r>
        <w:r w:rsidR="007E73DD" w:rsidRPr="009F191B">
          <w:rPr>
            <w:rStyle w:val="Hipervnculo"/>
            <w:rFonts w:ascii="Arial" w:hAnsi="Arial" w:cs="Arial"/>
            <w:noProof/>
          </w:rPr>
          <w:t>REGISTRO DE MEDICAMENTOS</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_Toc6916936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7</w:t>
        </w:r>
        <w:r w:rsidR="007E73DD" w:rsidRPr="009F191B">
          <w:rPr>
            <w:rFonts w:ascii="Arial" w:hAnsi="Arial" w:cs="Arial"/>
            <w:noProof/>
            <w:webHidden/>
          </w:rPr>
          <w:fldChar w:fldCharType="end"/>
        </w:r>
      </w:hyperlink>
    </w:p>
    <w:p w:rsidR="007E73DD" w:rsidRPr="009F191B" w:rsidRDefault="009F191B">
      <w:pPr>
        <w:pStyle w:val="TDC1"/>
        <w:tabs>
          <w:tab w:val="left" w:pos="440"/>
        </w:tabs>
        <w:rPr>
          <w:rFonts w:ascii="Arial" w:eastAsiaTheme="minorEastAsia" w:hAnsi="Arial" w:cs="Arial"/>
          <w:b w:val="0"/>
          <w:noProof/>
        </w:rPr>
      </w:pPr>
      <w:hyperlink w:anchor="_Toc6916937" w:history="1">
        <w:r w:rsidR="007E73DD" w:rsidRPr="009F191B">
          <w:rPr>
            <w:rStyle w:val="Hipervnculo"/>
            <w:rFonts w:ascii="Arial" w:hAnsi="Arial" w:cs="Arial"/>
            <w:noProof/>
          </w:rPr>
          <w:t>6.</w:t>
        </w:r>
        <w:r w:rsidR="007E73DD" w:rsidRPr="009F191B">
          <w:rPr>
            <w:rFonts w:ascii="Arial" w:eastAsiaTheme="minorEastAsia" w:hAnsi="Arial" w:cs="Arial"/>
            <w:b w:val="0"/>
            <w:noProof/>
          </w:rPr>
          <w:tab/>
        </w:r>
        <w:r w:rsidR="007E73DD" w:rsidRPr="009F191B">
          <w:rPr>
            <w:rStyle w:val="Hipervnculo"/>
            <w:rFonts w:ascii="Arial" w:hAnsi="Arial" w:cs="Arial"/>
            <w:noProof/>
          </w:rPr>
          <w:t>REGISTRO DE LA PRESCRIPCION EXCEPCIONAL</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_Toc6916937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8</w:t>
        </w:r>
        <w:r w:rsidR="007E73DD" w:rsidRPr="009F191B">
          <w:rPr>
            <w:rFonts w:ascii="Arial" w:hAnsi="Arial" w:cs="Arial"/>
            <w:noProof/>
            <w:webHidden/>
          </w:rPr>
          <w:fldChar w:fldCharType="end"/>
        </w:r>
      </w:hyperlink>
    </w:p>
    <w:p w:rsidR="007E73DD" w:rsidRPr="009F191B" w:rsidRDefault="009F191B">
      <w:pPr>
        <w:pStyle w:val="TDC1"/>
        <w:tabs>
          <w:tab w:val="left" w:pos="440"/>
        </w:tabs>
        <w:rPr>
          <w:rFonts w:ascii="Arial" w:eastAsiaTheme="minorEastAsia" w:hAnsi="Arial" w:cs="Arial"/>
          <w:b w:val="0"/>
          <w:noProof/>
        </w:rPr>
      </w:pPr>
      <w:hyperlink w:anchor="_Toc6916938" w:history="1">
        <w:r w:rsidR="007E73DD" w:rsidRPr="009F191B">
          <w:rPr>
            <w:rStyle w:val="Hipervnculo"/>
            <w:rFonts w:ascii="Arial" w:hAnsi="Arial" w:cs="Arial"/>
            <w:noProof/>
          </w:rPr>
          <w:t>7.</w:t>
        </w:r>
        <w:r w:rsidR="007E73DD" w:rsidRPr="009F191B">
          <w:rPr>
            <w:rFonts w:ascii="Arial" w:eastAsiaTheme="minorEastAsia" w:hAnsi="Arial" w:cs="Arial"/>
            <w:b w:val="0"/>
            <w:noProof/>
          </w:rPr>
          <w:tab/>
        </w:r>
        <w:r w:rsidR="007E73DD" w:rsidRPr="009F191B">
          <w:rPr>
            <w:rStyle w:val="Hipervnculo"/>
            <w:rFonts w:ascii="Arial" w:hAnsi="Arial" w:cs="Arial"/>
            <w:noProof/>
          </w:rPr>
          <w:t>EMISION Y ARCHIVO DE RECETAS</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_Toc6916938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9</w:t>
        </w:r>
        <w:r w:rsidR="007E73DD" w:rsidRPr="009F191B">
          <w:rPr>
            <w:rFonts w:ascii="Arial" w:hAnsi="Arial" w:cs="Arial"/>
            <w:noProof/>
            <w:webHidden/>
          </w:rPr>
          <w:fldChar w:fldCharType="end"/>
        </w:r>
      </w:hyperlink>
    </w:p>
    <w:p w:rsidR="007E73DD" w:rsidRDefault="009F191B">
      <w:pPr>
        <w:pStyle w:val="TDC1"/>
        <w:tabs>
          <w:tab w:val="left" w:pos="440"/>
        </w:tabs>
        <w:rPr>
          <w:rFonts w:asciiTheme="minorHAnsi" w:eastAsiaTheme="minorEastAsia" w:hAnsiTheme="minorHAnsi" w:cstheme="minorBidi"/>
          <w:b w:val="0"/>
          <w:noProof/>
        </w:rPr>
      </w:pPr>
      <w:hyperlink w:anchor="_Toc6916939" w:history="1">
        <w:r w:rsidR="007E73DD" w:rsidRPr="009F191B">
          <w:rPr>
            <w:rStyle w:val="Hipervnculo"/>
            <w:rFonts w:ascii="Arial" w:hAnsi="Arial" w:cs="Arial"/>
            <w:noProof/>
          </w:rPr>
          <w:t>8.</w:t>
        </w:r>
        <w:r w:rsidR="007E73DD" w:rsidRPr="009F191B">
          <w:rPr>
            <w:rFonts w:ascii="Arial" w:eastAsiaTheme="minorEastAsia" w:hAnsi="Arial" w:cs="Arial"/>
            <w:b w:val="0"/>
            <w:noProof/>
          </w:rPr>
          <w:tab/>
        </w:r>
        <w:r w:rsidR="007E73DD" w:rsidRPr="009F191B">
          <w:rPr>
            <w:rStyle w:val="Hipervnculo"/>
            <w:rFonts w:ascii="Arial" w:hAnsi="Arial" w:cs="Arial"/>
            <w:noProof/>
          </w:rPr>
          <w:t>COMUNICACIÓN ELECTRÓNICA DE PRESCRIPCIONES DE ANTIBIÓTICOS</w:t>
        </w:r>
        <w:r w:rsidR="007E73DD" w:rsidRPr="009F191B">
          <w:rPr>
            <w:rFonts w:ascii="Arial" w:hAnsi="Arial" w:cs="Arial"/>
            <w:noProof/>
            <w:webHidden/>
          </w:rPr>
          <w:tab/>
        </w:r>
        <w:r w:rsidR="007E73DD" w:rsidRPr="009F191B">
          <w:rPr>
            <w:rFonts w:ascii="Arial" w:hAnsi="Arial" w:cs="Arial"/>
            <w:noProof/>
            <w:webHidden/>
          </w:rPr>
          <w:fldChar w:fldCharType="begin"/>
        </w:r>
        <w:r w:rsidR="007E73DD" w:rsidRPr="009F191B">
          <w:rPr>
            <w:rFonts w:ascii="Arial" w:hAnsi="Arial" w:cs="Arial"/>
            <w:noProof/>
            <w:webHidden/>
          </w:rPr>
          <w:instrText xml:space="preserve"> PAGEREF _Toc6916939 \h </w:instrText>
        </w:r>
        <w:r w:rsidR="007E73DD" w:rsidRPr="009F191B">
          <w:rPr>
            <w:rFonts w:ascii="Arial" w:hAnsi="Arial" w:cs="Arial"/>
            <w:noProof/>
            <w:webHidden/>
          </w:rPr>
        </w:r>
        <w:r w:rsidR="007E73DD" w:rsidRPr="009F191B">
          <w:rPr>
            <w:rFonts w:ascii="Arial" w:hAnsi="Arial" w:cs="Arial"/>
            <w:noProof/>
            <w:webHidden/>
          </w:rPr>
          <w:fldChar w:fldCharType="separate"/>
        </w:r>
        <w:r w:rsidR="007E73DD" w:rsidRPr="009F191B">
          <w:rPr>
            <w:rFonts w:ascii="Arial" w:hAnsi="Arial" w:cs="Arial"/>
            <w:noProof/>
            <w:webHidden/>
          </w:rPr>
          <w:t>10</w:t>
        </w:r>
        <w:r w:rsidR="007E73DD" w:rsidRPr="009F191B">
          <w:rPr>
            <w:rFonts w:ascii="Arial" w:hAnsi="Arial" w:cs="Arial"/>
            <w:noProof/>
            <w:webHidden/>
          </w:rPr>
          <w:fldChar w:fldCharType="end"/>
        </w:r>
      </w:hyperlink>
    </w:p>
    <w:p w:rsidR="00C12A94" w:rsidRPr="00C12A94" w:rsidRDefault="00C12A94" w:rsidP="00DA335B">
      <w:pPr>
        <w:spacing w:before="120" w:after="120"/>
        <w:rPr>
          <w:rFonts w:ascii="Arial" w:hAnsi="Arial" w:cs="Arial"/>
          <w:sz w:val="22"/>
          <w:szCs w:val="22"/>
        </w:rPr>
      </w:pPr>
      <w:r w:rsidRPr="00224776">
        <w:rPr>
          <w:rFonts w:ascii="Arial" w:hAnsi="Arial" w:cs="Arial"/>
          <w:b/>
          <w:bCs/>
          <w:sz w:val="22"/>
          <w:szCs w:val="22"/>
        </w:rPr>
        <w:fldChar w:fldCharType="end"/>
      </w:r>
    </w:p>
    <w:p w:rsidR="00A45A19" w:rsidRPr="00BD351C" w:rsidRDefault="00A45A19" w:rsidP="00DA335B">
      <w:pPr>
        <w:pStyle w:val="TDC1"/>
        <w:tabs>
          <w:tab w:val="left" w:pos="480"/>
        </w:tabs>
        <w:spacing w:line="360" w:lineRule="auto"/>
        <w:rPr>
          <w:b w:val="0"/>
          <w:noProof/>
        </w:rPr>
      </w:pPr>
    </w:p>
    <w:p w:rsidR="00BA5B36" w:rsidRDefault="00A45A19" w:rsidP="00DA335B">
      <w:pPr>
        <w:spacing w:before="120" w:after="120"/>
        <w:jc w:val="both"/>
      </w:pPr>
      <w:r>
        <w:br w:type="page"/>
      </w:r>
      <w:bookmarkStart w:id="0" w:name="_Toc381771248"/>
      <w:bookmarkStart w:id="1" w:name="_Toc408921555"/>
    </w:p>
    <w:p w:rsidR="00BA5B36" w:rsidRPr="00C12A94" w:rsidRDefault="00BA5B36" w:rsidP="0074584D">
      <w:pPr>
        <w:pStyle w:val="Ttulo1"/>
        <w:numPr>
          <w:ilvl w:val="0"/>
          <w:numId w:val="7"/>
        </w:numPr>
        <w:spacing w:before="240" w:after="120"/>
        <w:ind w:left="357" w:hanging="357"/>
        <w:contextualSpacing/>
      </w:pPr>
      <w:bookmarkStart w:id="2" w:name="_Toc480375756"/>
      <w:bookmarkStart w:id="3" w:name="_Toc6916927"/>
      <w:r w:rsidRPr="00C12A94">
        <w:lastRenderedPageBreak/>
        <w:t>INTRODUCCIÓN</w:t>
      </w:r>
      <w:bookmarkEnd w:id="0"/>
      <w:bookmarkEnd w:id="1"/>
      <w:bookmarkEnd w:id="2"/>
      <w:bookmarkEnd w:id="3"/>
    </w:p>
    <w:p w:rsidR="00BA5B36" w:rsidRPr="00E23294" w:rsidRDefault="00BA5B36" w:rsidP="00DA335B">
      <w:pPr>
        <w:pStyle w:val="subtitulo3"/>
        <w:spacing w:before="120"/>
        <w:ind w:firstLine="360"/>
        <w:rPr>
          <w:b w:val="0"/>
          <w:i w:val="0"/>
          <w:u w:val="none"/>
        </w:rPr>
      </w:pPr>
      <w:r w:rsidRPr="00E23294">
        <w:rPr>
          <w:b w:val="0"/>
          <w:i w:val="0"/>
          <w:u w:val="none"/>
        </w:rPr>
        <w:t>El presente procedimiento tiene por objeto describir de forma específica y concreta las actividades a realizar en este subprograma y el modo de realizarlas.</w:t>
      </w:r>
    </w:p>
    <w:p w:rsidR="00BA5B36" w:rsidRPr="00E23294" w:rsidRDefault="00E14291" w:rsidP="00DA335B">
      <w:pPr>
        <w:pStyle w:val="subtitulo3"/>
        <w:spacing w:before="120"/>
        <w:ind w:firstLine="360"/>
        <w:rPr>
          <w:b w:val="0"/>
          <w:i w:val="0"/>
          <w:u w:val="none"/>
        </w:rPr>
      </w:pPr>
      <w:r>
        <w:rPr>
          <w:b w:val="0"/>
          <w:i w:val="0"/>
          <w:u w:val="none"/>
        </w:rPr>
        <w:t xml:space="preserve">El </w:t>
      </w:r>
      <w:r w:rsidR="00BA5B36" w:rsidRPr="00E23294">
        <w:rPr>
          <w:b w:val="0"/>
          <w:i w:val="0"/>
          <w:u w:val="none"/>
        </w:rPr>
        <w:t xml:space="preserve"> Plan Nacional de</w:t>
      </w:r>
      <w:r w:rsidR="00DD4A2A">
        <w:rPr>
          <w:b w:val="0"/>
          <w:i w:val="0"/>
          <w:u w:val="none"/>
        </w:rPr>
        <w:t xml:space="preserve"> Control </w:t>
      </w:r>
      <w:r w:rsidR="008E13CB">
        <w:rPr>
          <w:b w:val="0"/>
          <w:i w:val="0"/>
          <w:u w:val="none"/>
        </w:rPr>
        <w:t xml:space="preserve">Oficial </w:t>
      </w:r>
      <w:r w:rsidR="00DD4A2A">
        <w:rPr>
          <w:b w:val="0"/>
          <w:i w:val="0"/>
          <w:u w:val="none"/>
        </w:rPr>
        <w:t>de la Cadena Alimentari</w:t>
      </w:r>
      <w:r w:rsidR="00BA5B36" w:rsidRPr="00E23294">
        <w:rPr>
          <w:b w:val="0"/>
          <w:i w:val="0"/>
          <w:u w:val="none"/>
        </w:rPr>
        <w:t>a</w:t>
      </w:r>
      <w:r w:rsidR="00E26898">
        <w:rPr>
          <w:b w:val="0"/>
          <w:i w:val="0"/>
          <w:u w:val="none"/>
        </w:rPr>
        <w:t xml:space="preserve"> (PNCOCA)</w:t>
      </w:r>
      <w:r w:rsidR="00BA5B36" w:rsidRPr="00E23294">
        <w:rPr>
          <w:b w:val="0"/>
          <w:i w:val="0"/>
          <w:u w:val="none"/>
        </w:rPr>
        <w:t xml:space="preserve"> 20</w:t>
      </w:r>
      <w:r>
        <w:rPr>
          <w:b w:val="0"/>
          <w:i w:val="0"/>
          <w:u w:val="none"/>
        </w:rPr>
        <w:t>16</w:t>
      </w:r>
      <w:r w:rsidR="00BA5B36" w:rsidRPr="00E23294">
        <w:rPr>
          <w:b w:val="0"/>
          <w:i w:val="0"/>
          <w:u w:val="none"/>
        </w:rPr>
        <w:t>-20</w:t>
      </w:r>
      <w:r>
        <w:rPr>
          <w:b w:val="0"/>
          <w:i w:val="0"/>
          <w:u w:val="none"/>
        </w:rPr>
        <w:t>20</w:t>
      </w:r>
      <w:r w:rsidR="00BA5B36" w:rsidRPr="00E23294">
        <w:rPr>
          <w:b w:val="0"/>
          <w:i w:val="0"/>
          <w:u w:val="none"/>
        </w:rPr>
        <w:t xml:space="preserve">, </w:t>
      </w:r>
      <w:r w:rsidR="008E13CB">
        <w:rPr>
          <w:b w:val="0"/>
          <w:i w:val="0"/>
          <w:u w:val="none"/>
        </w:rPr>
        <w:t xml:space="preserve">incluye </w:t>
      </w:r>
      <w:r w:rsidR="00BA5B36" w:rsidRPr="00E23294">
        <w:rPr>
          <w:b w:val="0"/>
          <w:i w:val="0"/>
          <w:u w:val="none"/>
        </w:rPr>
        <w:t xml:space="preserve">el Programa Nacional de Control Oficial </w:t>
      </w:r>
      <w:r>
        <w:rPr>
          <w:b w:val="0"/>
          <w:i w:val="0"/>
          <w:u w:val="none"/>
        </w:rPr>
        <w:t>de la distribución, prescripción y dispensación</w:t>
      </w:r>
      <w:r w:rsidR="008E13CB">
        <w:rPr>
          <w:b w:val="0"/>
          <w:i w:val="0"/>
          <w:u w:val="none"/>
        </w:rPr>
        <w:t xml:space="preserve"> de medicamentos veterinarios. D</w:t>
      </w:r>
      <w:r>
        <w:rPr>
          <w:b w:val="0"/>
          <w:i w:val="0"/>
          <w:u w:val="none"/>
        </w:rPr>
        <w:t>entro de</w:t>
      </w:r>
      <w:r w:rsidR="008E13CB">
        <w:rPr>
          <w:b w:val="0"/>
          <w:i w:val="0"/>
          <w:u w:val="none"/>
        </w:rPr>
        <w:t>l</w:t>
      </w:r>
      <w:r>
        <w:rPr>
          <w:b w:val="0"/>
          <w:i w:val="0"/>
          <w:u w:val="none"/>
        </w:rPr>
        <w:t xml:space="preserve"> ámbito de control </w:t>
      </w:r>
      <w:r w:rsidR="008E13CB">
        <w:rPr>
          <w:b w:val="0"/>
          <w:i w:val="0"/>
          <w:u w:val="none"/>
        </w:rPr>
        <w:t xml:space="preserve">de este programa está </w:t>
      </w:r>
      <w:r>
        <w:rPr>
          <w:b w:val="0"/>
          <w:i w:val="0"/>
          <w:u w:val="none"/>
        </w:rPr>
        <w:t>el ejercicio profesional veterinario. Los veterinarios, para su ejercicio clínico, están autorizados a la tenencia, transporte, uso, administración o cesión de medicamentos veterinarios en los términos establecidos en la normativa en vigor.</w:t>
      </w:r>
    </w:p>
    <w:p w:rsidR="00BA0D72" w:rsidRPr="00E23294" w:rsidRDefault="008E13CB" w:rsidP="00DA335B">
      <w:pPr>
        <w:spacing w:before="120" w:after="120"/>
        <w:ind w:firstLine="360"/>
        <w:jc w:val="both"/>
      </w:pPr>
      <w:r>
        <w:t>El</w:t>
      </w:r>
      <w:r w:rsidR="00BA5B36" w:rsidRPr="00E23294">
        <w:t xml:space="preserve"> Subprograma autonómico de control del uso de los medicamentos veterinarios</w:t>
      </w:r>
      <w:r w:rsidR="00E14291">
        <w:t xml:space="preserve"> en el ejercicio profesional veterinario</w:t>
      </w:r>
      <w:r>
        <w:t xml:space="preserve"> comprende</w:t>
      </w:r>
      <w:r w:rsidR="00BA5B36" w:rsidRPr="00E23294">
        <w:t xml:space="preserve"> las actuaciones dirigidas a comprobar el </w:t>
      </w:r>
      <w:r w:rsidR="00A811BA" w:rsidRPr="00E23294">
        <w:t xml:space="preserve">cumplimiento de la legislación en materia </w:t>
      </w:r>
      <w:r w:rsidR="00E14291">
        <w:t xml:space="preserve">de medicamentos veterinarios por parte de los veterinarios y </w:t>
      </w:r>
      <w:r w:rsidR="00A811BA" w:rsidRPr="00E23294">
        <w:t>equipos veterinarios privados</w:t>
      </w:r>
      <w:r w:rsidR="00106492" w:rsidRPr="00E23294">
        <w:t xml:space="preserve"> que</w:t>
      </w:r>
      <w:r w:rsidR="00E14291">
        <w:t xml:space="preserve"> utilizan medicamentos veterinarios destinados a animales productores de alimentos que figuran </w:t>
      </w:r>
      <w:r>
        <w:t xml:space="preserve">en a base de datos </w:t>
      </w:r>
      <w:r w:rsidRPr="008E13CB">
        <w:rPr>
          <w:i/>
        </w:rPr>
        <w:t>Botiquines Veterinarios</w:t>
      </w:r>
      <w:r>
        <w:t xml:space="preserve"> </w:t>
      </w:r>
      <w:r w:rsidRPr="008E13CB">
        <w:rPr>
          <w:b/>
        </w:rPr>
        <w:t>(</w:t>
      </w:r>
      <w:r>
        <w:rPr>
          <w:b/>
        </w:rPr>
        <w:t>A</w:t>
      </w:r>
      <w:r w:rsidR="00E14291" w:rsidRPr="008E13CB">
        <w:rPr>
          <w:b/>
        </w:rPr>
        <w:t>nexo I</w:t>
      </w:r>
      <w:r w:rsidRPr="008E13CB">
        <w:rPr>
          <w:b/>
        </w:rPr>
        <w:t>)</w:t>
      </w:r>
      <w:r w:rsidR="00E14291" w:rsidRPr="008E13CB">
        <w:rPr>
          <w:b/>
        </w:rPr>
        <w:t>.</w:t>
      </w:r>
      <w:r w:rsidR="00E14291">
        <w:t xml:space="preserve"> </w:t>
      </w:r>
    </w:p>
    <w:p w:rsidR="000A7587" w:rsidRPr="00C41BCC" w:rsidRDefault="000A7587" w:rsidP="0074584D">
      <w:pPr>
        <w:pStyle w:val="Ttulo1"/>
        <w:numPr>
          <w:ilvl w:val="0"/>
          <w:numId w:val="7"/>
        </w:numPr>
        <w:spacing w:before="240" w:after="120"/>
        <w:ind w:left="357" w:hanging="357"/>
        <w:contextualSpacing/>
      </w:pPr>
      <w:bookmarkStart w:id="4" w:name="_Toc480375757"/>
      <w:bookmarkStart w:id="5" w:name="_Toc6916928"/>
      <w:r w:rsidRPr="00F96626">
        <w:t xml:space="preserve">NORMAS GENERALES </w:t>
      </w:r>
      <w:r w:rsidR="00674DD3" w:rsidRPr="00F96626">
        <w:t>DE LOS CONTROLES</w:t>
      </w:r>
      <w:r w:rsidR="00E26898" w:rsidRPr="00F07D08">
        <w:t>.</w:t>
      </w:r>
      <w:bookmarkEnd w:id="4"/>
      <w:bookmarkEnd w:id="5"/>
    </w:p>
    <w:p w:rsidR="00D15750" w:rsidRPr="00FF1003" w:rsidRDefault="00D15750" w:rsidP="0074584D">
      <w:pPr>
        <w:pStyle w:val="Ttulo1"/>
        <w:numPr>
          <w:ilvl w:val="1"/>
          <w:numId w:val="7"/>
        </w:numPr>
        <w:spacing w:before="240" w:after="120"/>
        <w:ind w:left="788" w:hanging="431"/>
        <w:rPr>
          <w:u w:val="single"/>
        </w:rPr>
      </w:pPr>
      <w:bookmarkStart w:id="6" w:name="_Toc6916929"/>
      <w:r w:rsidRPr="00FF1003">
        <w:rPr>
          <w:u w:val="single"/>
        </w:rPr>
        <w:t>Normativa básica</w:t>
      </w:r>
      <w:bookmarkEnd w:id="6"/>
    </w:p>
    <w:p w:rsidR="00696936" w:rsidRPr="0026319F" w:rsidRDefault="00C61535" w:rsidP="00DA335B">
      <w:pPr>
        <w:spacing w:before="120" w:after="120"/>
        <w:ind w:firstLine="360"/>
        <w:jc w:val="both"/>
        <w:rPr>
          <w:color w:val="FF0000"/>
        </w:rPr>
      </w:pPr>
      <w:r w:rsidRPr="00C61535">
        <w:t>El presente Procedimiento</w:t>
      </w:r>
      <w:r>
        <w:t xml:space="preserve"> Normalizado de T</w:t>
      </w:r>
      <w:r w:rsidRPr="00C61535">
        <w:t>rabajo se ha redactado teniendo en cuanta</w:t>
      </w:r>
      <w:r>
        <w:t xml:space="preserve"> l</w:t>
      </w:r>
      <w:r w:rsidR="00696936">
        <w:t xml:space="preserve">a normativa básica de aplicación </w:t>
      </w:r>
      <w:r>
        <w:t>en</w:t>
      </w:r>
      <w:r w:rsidR="00696936">
        <w:t xml:space="preserve"> las inspecciones de control a vet</w:t>
      </w:r>
      <w:r>
        <w:t>erinarios de práctica privada:</w:t>
      </w:r>
      <w:r w:rsidR="00696936">
        <w:t xml:space="preserve"> el </w:t>
      </w:r>
      <w:r w:rsidR="00696936" w:rsidRPr="00696936">
        <w:rPr>
          <w:b/>
        </w:rPr>
        <w:t>Real Decreto 109/1995</w:t>
      </w:r>
      <w:r w:rsidR="00696936">
        <w:t xml:space="preserve">, </w:t>
      </w:r>
      <w:r w:rsidR="0026319F" w:rsidRPr="0026319F">
        <w:t xml:space="preserve">de 27 de enero, </w:t>
      </w:r>
      <w:r w:rsidR="00696936">
        <w:t xml:space="preserve">sobre medicamentos veterinarios,  modificado por el </w:t>
      </w:r>
      <w:r w:rsidR="00696936" w:rsidRPr="00696936">
        <w:rPr>
          <w:b/>
        </w:rPr>
        <w:t>Real Decreto 1132/2010</w:t>
      </w:r>
      <w:r w:rsidR="0026319F" w:rsidRPr="0026319F">
        <w:t xml:space="preserve">, de 10 de septiembre,  </w:t>
      </w:r>
      <w:r w:rsidR="0026319F">
        <w:t xml:space="preserve">y </w:t>
      </w:r>
      <w:r w:rsidR="0026319F" w:rsidRPr="0026319F">
        <w:rPr>
          <w:color w:val="FF0000"/>
        </w:rPr>
        <w:t xml:space="preserve">el </w:t>
      </w:r>
      <w:r w:rsidR="0026319F" w:rsidRPr="0026319F">
        <w:rPr>
          <w:b/>
          <w:color w:val="FF0000"/>
        </w:rPr>
        <w:t>Real Decreto 191/2018</w:t>
      </w:r>
      <w:r w:rsidR="0026319F" w:rsidRPr="0026319F">
        <w:rPr>
          <w:color w:val="FF0000"/>
        </w:rPr>
        <w:t>, de 6 de abril, por el que se establece la transmisión electrónica de datos de las prescripciones veterinarias de antibióticos destinados a animales productores de alimentos para consumo humano, y se modifican diversos reales decretos en materia de ganadería.</w:t>
      </w:r>
    </w:p>
    <w:p w:rsidR="00111DA8" w:rsidRPr="002F682F" w:rsidRDefault="00E26898" w:rsidP="00DA335B">
      <w:pPr>
        <w:spacing w:before="120" w:after="120"/>
        <w:ind w:firstLine="360"/>
        <w:jc w:val="both"/>
        <w:rPr>
          <w:color w:val="FF0000"/>
        </w:rPr>
      </w:pPr>
      <w:r w:rsidRPr="00E95044">
        <w:t xml:space="preserve">EL PNCOCA establece </w:t>
      </w:r>
      <w:r w:rsidR="002F682F">
        <w:t xml:space="preserve">que </w:t>
      </w:r>
      <w:r w:rsidR="002F682F" w:rsidRPr="002F682F">
        <w:rPr>
          <w:color w:val="FF0000"/>
        </w:rPr>
        <w:t>se controlará un mínimo del 15% anual de veterinarios prescriptores o con tenencia de medicamentos veterinarios para el ejercicio de la profesión.</w:t>
      </w:r>
    </w:p>
    <w:p w:rsidR="00FF1003" w:rsidRPr="00397AD2" w:rsidRDefault="00FF1003" w:rsidP="0074584D">
      <w:pPr>
        <w:pStyle w:val="Ttulo1"/>
        <w:numPr>
          <w:ilvl w:val="1"/>
          <w:numId w:val="7"/>
        </w:numPr>
        <w:spacing w:before="240" w:after="120"/>
        <w:ind w:left="788" w:hanging="431"/>
        <w:rPr>
          <w:color w:val="FF0000"/>
          <w:u w:val="single"/>
        </w:rPr>
      </w:pPr>
      <w:bookmarkStart w:id="7" w:name="_Toc6916930"/>
      <w:r w:rsidRPr="00397AD2">
        <w:rPr>
          <w:color w:val="FF0000"/>
          <w:u w:val="single"/>
        </w:rPr>
        <w:t>Universo de control:</w:t>
      </w:r>
      <w:bookmarkEnd w:id="7"/>
    </w:p>
    <w:p w:rsidR="00FF1003" w:rsidRPr="00397AD2" w:rsidRDefault="00FF1003" w:rsidP="00DA335B">
      <w:pPr>
        <w:spacing w:before="120" w:after="120"/>
        <w:jc w:val="both"/>
        <w:rPr>
          <w:color w:val="FF0000"/>
        </w:rPr>
      </w:pPr>
      <w:r w:rsidRPr="00397AD2">
        <w:rPr>
          <w:color w:val="FF0000"/>
        </w:rPr>
        <w:t>El universo de control lo constituyen los bot</w:t>
      </w:r>
      <w:r w:rsidR="00B24651" w:rsidRPr="00397AD2">
        <w:rPr>
          <w:color w:val="FF0000"/>
        </w:rPr>
        <w:t xml:space="preserve">iquines veterinarios declarados. </w:t>
      </w:r>
      <w:r w:rsidRPr="00397AD2">
        <w:rPr>
          <w:color w:val="FF0000"/>
        </w:rPr>
        <w:t>Es importante, por tanto, que si en el ámbito de otras actuaciones</w:t>
      </w:r>
      <w:r w:rsidR="00A24309">
        <w:rPr>
          <w:color w:val="FF0000"/>
        </w:rPr>
        <w:t xml:space="preserve"> (r</w:t>
      </w:r>
      <w:r w:rsidR="000D0373" w:rsidRPr="00397AD2">
        <w:rPr>
          <w:color w:val="FF0000"/>
        </w:rPr>
        <w:t>evisión de</w:t>
      </w:r>
      <w:r w:rsidR="00A24309">
        <w:rPr>
          <w:color w:val="FF0000"/>
        </w:rPr>
        <w:t xml:space="preserve"> recetas en explotación o CD</w:t>
      </w:r>
      <w:r w:rsidR="000D0373" w:rsidRPr="00397AD2">
        <w:rPr>
          <w:color w:val="FF0000"/>
        </w:rPr>
        <w:t>)</w:t>
      </w:r>
      <w:r w:rsidRPr="00397AD2">
        <w:rPr>
          <w:color w:val="FF0000"/>
        </w:rPr>
        <w:t xml:space="preserve"> se detectan veterinarios que no han comunicado el botiquín veterinario</w:t>
      </w:r>
      <w:r w:rsidR="000D0373" w:rsidRPr="00397AD2">
        <w:rPr>
          <w:color w:val="FF0000"/>
        </w:rPr>
        <w:t xml:space="preserve"> o no tiene</w:t>
      </w:r>
      <w:r w:rsidR="003957AA">
        <w:rPr>
          <w:color w:val="FF0000"/>
        </w:rPr>
        <w:t>n</w:t>
      </w:r>
      <w:r w:rsidR="000D0373" w:rsidRPr="00397AD2">
        <w:rPr>
          <w:color w:val="FF0000"/>
        </w:rPr>
        <w:t xml:space="preserve"> los datos completos o actualizados (incluidos datos de unidades de clínica ambulante)</w:t>
      </w:r>
      <w:r w:rsidRPr="00397AD2">
        <w:rPr>
          <w:color w:val="FF0000"/>
        </w:rPr>
        <w:t xml:space="preserve"> se informe a SSCC para que podamos realizar un requerimiento.</w:t>
      </w:r>
    </w:p>
    <w:p w:rsidR="00D15750" w:rsidRPr="00FF1003" w:rsidRDefault="00D15750" w:rsidP="0074584D">
      <w:pPr>
        <w:pStyle w:val="Ttulo1"/>
        <w:numPr>
          <w:ilvl w:val="1"/>
          <w:numId w:val="7"/>
        </w:numPr>
        <w:spacing w:before="240" w:after="120"/>
        <w:ind w:left="788" w:hanging="431"/>
        <w:rPr>
          <w:u w:val="single"/>
        </w:rPr>
      </w:pPr>
      <w:bookmarkStart w:id="8" w:name="_Toc6916931"/>
      <w:r w:rsidRPr="00FF1003">
        <w:rPr>
          <w:u w:val="single"/>
        </w:rPr>
        <w:t>Ámbito de control</w:t>
      </w:r>
      <w:bookmarkEnd w:id="8"/>
    </w:p>
    <w:p w:rsidR="00674DD3" w:rsidRDefault="00674DD3" w:rsidP="00DA335B">
      <w:pPr>
        <w:spacing w:before="120" w:after="120"/>
        <w:ind w:firstLine="360"/>
        <w:jc w:val="both"/>
      </w:pPr>
      <w:r>
        <w:t>El ámbito del control incluye:</w:t>
      </w:r>
      <w:r w:rsidR="00895134" w:rsidRPr="00E95044">
        <w:t xml:space="preserve"> l</w:t>
      </w:r>
      <w:r w:rsidR="00A41830" w:rsidRPr="00E95044">
        <w:t xml:space="preserve">a comunicación </w:t>
      </w:r>
      <w:r w:rsidR="00AE279B">
        <w:t xml:space="preserve">de la existencia del botiquín </w:t>
      </w:r>
      <w:r w:rsidR="00A41830" w:rsidRPr="00E95044">
        <w:t>a la autoridad competente de la CCAA,</w:t>
      </w:r>
      <w:r>
        <w:t xml:space="preserve"> </w:t>
      </w:r>
      <w:r w:rsidR="00E0237D" w:rsidRPr="00E95044">
        <w:t>la</w:t>
      </w:r>
      <w:r w:rsidR="00AE279B">
        <w:t>s</w:t>
      </w:r>
      <w:r w:rsidR="00E0237D" w:rsidRPr="00E95044">
        <w:t xml:space="preserve"> </w:t>
      </w:r>
      <w:r w:rsidR="00AE279B">
        <w:t xml:space="preserve">condiciones de </w:t>
      </w:r>
      <w:r w:rsidR="00E0237D" w:rsidRPr="00E95044">
        <w:t>conservación de los medicamentos</w:t>
      </w:r>
      <w:r w:rsidR="00675E2A">
        <w:t xml:space="preserve"> del botiquín, </w:t>
      </w:r>
      <w:r w:rsidR="00C43D3C" w:rsidRPr="00E95044">
        <w:t xml:space="preserve">las </w:t>
      </w:r>
      <w:r w:rsidR="00675E2A">
        <w:t>recetas emitidas</w:t>
      </w:r>
      <w:r w:rsidR="003957AA">
        <w:t>,  su correcta cumplimentación,</w:t>
      </w:r>
      <w:r w:rsidR="00675E2A">
        <w:t xml:space="preserve"> los registros obligatorios</w:t>
      </w:r>
      <w:r w:rsidR="003957AA">
        <w:t xml:space="preserve"> </w:t>
      </w:r>
      <w:r w:rsidR="003957AA" w:rsidRPr="003957AA">
        <w:rPr>
          <w:color w:val="FF0000"/>
        </w:rPr>
        <w:t>y la comunicación a PRESVET de las prescripciones de antibióticos</w:t>
      </w:r>
      <w:r w:rsidR="003957AA">
        <w:t xml:space="preserve">. </w:t>
      </w:r>
      <w:r w:rsidR="00696936">
        <w:t xml:space="preserve">Se </w:t>
      </w:r>
      <w:r w:rsidR="00696936" w:rsidRPr="00696936">
        <w:rPr>
          <w:b/>
        </w:rPr>
        <w:t>excluyen del ámbito</w:t>
      </w:r>
      <w:r w:rsidR="00696936">
        <w:t xml:space="preserve"> de control los medicamentos veterinarios destinados a </w:t>
      </w:r>
      <w:r w:rsidR="00696936" w:rsidRPr="00696936">
        <w:rPr>
          <w:b/>
        </w:rPr>
        <w:t>animales no productores de alimentos</w:t>
      </w:r>
      <w:r w:rsidR="00696936">
        <w:t xml:space="preserve">. </w:t>
      </w:r>
    </w:p>
    <w:p w:rsidR="006538B2" w:rsidRDefault="00674DD3" w:rsidP="00DA335B">
      <w:pPr>
        <w:spacing w:before="120" w:after="120"/>
        <w:ind w:firstLine="360"/>
        <w:jc w:val="both"/>
      </w:pPr>
      <w:r>
        <w:lastRenderedPageBreak/>
        <w:t>Los controles se realizaran sin previo aviso y se llevaran a cabo sobre los veterinarios y equipos veterinarios seleccionados para cada Oficina Comarcal. El control de un equipo veterinario formado por varios miembros se realizar</w:t>
      </w:r>
      <w:r w:rsidR="00696936">
        <w:t>á con  un único protocolo, detallando los veterinari</w:t>
      </w:r>
      <w:r w:rsidR="006538B2">
        <w:t>os que forman parte del equipo y comprobando si todos ellos han comunicado la existencia de botiquín veterinario para su práctica clínica. De modo general, el registro de medicamentos ha de llevarse de manera conjunta, mientras que los registros de prescripción excepcional y los aspectos relativos a las recetas deben controlarse de manera individual a cada veterinario.</w:t>
      </w:r>
    </w:p>
    <w:p w:rsidR="00F96626" w:rsidRPr="000D0373" w:rsidRDefault="00D15750" w:rsidP="0074584D">
      <w:pPr>
        <w:pStyle w:val="Ttulo1"/>
        <w:numPr>
          <w:ilvl w:val="1"/>
          <w:numId w:val="7"/>
        </w:numPr>
        <w:spacing w:before="240" w:after="120"/>
        <w:ind w:left="788" w:hanging="431"/>
        <w:rPr>
          <w:u w:val="single"/>
        </w:rPr>
      </w:pPr>
      <w:bookmarkStart w:id="9" w:name="_Toc6916932"/>
      <w:r w:rsidRPr="000D0373">
        <w:rPr>
          <w:u w:val="single"/>
        </w:rPr>
        <w:t>Naturaleza de los controles</w:t>
      </w:r>
      <w:bookmarkEnd w:id="9"/>
    </w:p>
    <w:p w:rsidR="00674DD3" w:rsidRDefault="00674DD3" w:rsidP="00DA335B">
      <w:pPr>
        <w:spacing w:before="120" w:after="120"/>
        <w:ind w:firstLine="360"/>
        <w:jc w:val="both"/>
      </w:pPr>
      <w:r>
        <w:t>La naturaleza de los controles comprende:</w:t>
      </w:r>
    </w:p>
    <w:p w:rsidR="00674DD3" w:rsidRDefault="00674DD3" w:rsidP="0074584D">
      <w:pPr>
        <w:numPr>
          <w:ilvl w:val="0"/>
          <w:numId w:val="2"/>
        </w:numPr>
        <w:spacing w:before="120" w:after="120"/>
        <w:jc w:val="both"/>
      </w:pPr>
      <w:r>
        <w:t>El control de los documentos exigidos en la normativa.</w:t>
      </w:r>
    </w:p>
    <w:p w:rsidR="00674DD3" w:rsidRDefault="00674DD3" w:rsidP="0074584D">
      <w:pPr>
        <w:numPr>
          <w:ilvl w:val="0"/>
          <w:numId w:val="2"/>
        </w:numPr>
        <w:spacing w:before="120" w:after="120"/>
        <w:jc w:val="both"/>
      </w:pPr>
      <w:r>
        <w:t>Control visual in situ</w:t>
      </w:r>
      <w:r w:rsidR="003957AA">
        <w:t>.</w:t>
      </w:r>
    </w:p>
    <w:p w:rsidR="00674DD3" w:rsidRDefault="00674DD3" w:rsidP="0074584D">
      <w:pPr>
        <w:numPr>
          <w:ilvl w:val="0"/>
          <w:numId w:val="2"/>
        </w:numPr>
        <w:spacing w:before="120" w:after="120"/>
        <w:jc w:val="both"/>
      </w:pPr>
      <w:r>
        <w:t>Levantamiento de acta y, en su caso,  informe posterior a la inspección</w:t>
      </w:r>
    </w:p>
    <w:p w:rsidR="00674DD3" w:rsidRPr="00E95044" w:rsidRDefault="00674DD3" w:rsidP="0074584D">
      <w:pPr>
        <w:numPr>
          <w:ilvl w:val="0"/>
          <w:numId w:val="2"/>
        </w:numPr>
        <w:spacing w:before="120" w:after="120"/>
        <w:jc w:val="both"/>
      </w:pPr>
      <w:r>
        <w:t>Vigilancia y seguimiento posterior en caso de incumplimientos.</w:t>
      </w:r>
    </w:p>
    <w:p w:rsidR="0053098B" w:rsidRPr="000D0373" w:rsidRDefault="0053098B" w:rsidP="0074584D">
      <w:pPr>
        <w:pStyle w:val="Ttulo1"/>
        <w:numPr>
          <w:ilvl w:val="1"/>
          <w:numId w:val="7"/>
        </w:numPr>
        <w:spacing w:before="240" w:after="120"/>
        <w:ind w:left="788" w:hanging="431"/>
        <w:rPr>
          <w:u w:val="single"/>
        </w:rPr>
      </w:pPr>
      <w:bookmarkStart w:id="10" w:name="_Toc6916933"/>
      <w:r w:rsidRPr="000D0373">
        <w:rPr>
          <w:u w:val="single"/>
        </w:rPr>
        <w:t>Procedimiento de inspección</w:t>
      </w:r>
      <w:bookmarkEnd w:id="10"/>
    </w:p>
    <w:p w:rsidR="0053098B" w:rsidRPr="00E95044" w:rsidRDefault="0053098B" w:rsidP="003957AA">
      <w:pPr>
        <w:spacing w:before="120" w:after="120"/>
        <w:ind w:firstLine="357"/>
        <w:jc w:val="both"/>
      </w:pPr>
      <w:r w:rsidRPr="0053098B">
        <w:t xml:space="preserve">Antes de realizar el control se revisarán todos los datos del botiquín en el listado de botiquines veterinarios comunicados que se encuentra en </w:t>
      </w:r>
      <w:hyperlink r:id="rId10" w:history="1">
        <w:r w:rsidR="003957AA" w:rsidRPr="003957AA">
          <w:rPr>
            <w:rStyle w:val="Hipervnculo"/>
          </w:rPr>
          <w:t>R:\SCPG\Instrucciones vigentes\Medica</w:t>
        </w:r>
        <w:r w:rsidR="003957AA" w:rsidRPr="003957AA">
          <w:rPr>
            <w:rStyle w:val="Hipervnculo"/>
          </w:rPr>
          <w:t>m</w:t>
        </w:r>
        <w:r w:rsidR="003957AA" w:rsidRPr="003957AA">
          <w:rPr>
            <w:rStyle w:val="Hipervnculo"/>
          </w:rPr>
          <w:t>entos</w:t>
        </w:r>
      </w:hyperlink>
      <w:r w:rsidRPr="0053098B">
        <w:t xml:space="preserve">. </w:t>
      </w:r>
      <w:r>
        <w:t>Se</w:t>
      </w:r>
      <w:r w:rsidRPr="0053098B">
        <w:t xml:space="preserve"> inspeccionar</w:t>
      </w:r>
      <w:r>
        <w:t>án</w:t>
      </w:r>
      <w:r w:rsidRPr="0053098B">
        <w:t xml:space="preserve"> todos los</w:t>
      </w:r>
      <w:r>
        <w:t xml:space="preserve"> veterinarios incluidos en el mismo, así como todas las unidades de clínica ambulante comunicadas. Se verificará que</w:t>
      </w:r>
      <w:r w:rsidR="00D034AA">
        <w:t xml:space="preserve"> todos los datos comunicados so</w:t>
      </w:r>
      <w:r>
        <w:t xml:space="preserve">n correctos y </w:t>
      </w:r>
      <w:r w:rsidR="00D034AA">
        <w:t>que está</w:t>
      </w:r>
      <w:r>
        <w:t>n actualizados.</w:t>
      </w:r>
    </w:p>
    <w:p w:rsidR="00DD1B50" w:rsidRPr="00D034AA" w:rsidRDefault="00675E2A" w:rsidP="00DA335B">
      <w:pPr>
        <w:spacing w:before="120" w:after="120"/>
        <w:ind w:firstLine="357"/>
        <w:jc w:val="both"/>
      </w:pPr>
      <w:r w:rsidRPr="00D034AA">
        <w:t xml:space="preserve">El </w:t>
      </w:r>
      <w:r w:rsidR="005D0049" w:rsidRPr="00D034AA">
        <w:t>control</w:t>
      </w:r>
      <w:r w:rsidRPr="00D034AA">
        <w:t xml:space="preserve"> se</w:t>
      </w:r>
      <w:r w:rsidR="00AE279B" w:rsidRPr="00D034AA">
        <w:t xml:space="preserve"> </w:t>
      </w:r>
      <w:r w:rsidRPr="00D034AA">
        <w:t>llevara a cabo</w:t>
      </w:r>
      <w:r w:rsidR="005D0049" w:rsidRPr="00D034AA">
        <w:t xml:space="preserve"> </w:t>
      </w:r>
      <w:r w:rsidR="00712095" w:rsidRPr="00D034AA">
        <w:t xml:space="preserve">siguiendo </w:t>
      </w:r>
      <w:r w:rsidR="002E30D9" w:rsidRPr="00D034AA">
        <w:t>los</w:t>
      </w:r>
      <w:r w:rsidR="00712095" w:rsidRPr="00D034AA">
        <w:t xml:space="preserve"> </w:t>
      </w:r>
      <w:r w:rsidR="005D0049" w:rsidRPr="00D034AA">
        <w:rPr>
          <w:b/>
        </w:rPr>
        <w:t>P</w:t>
      </w:r>
      <w:r w:rsidR="00712095" w:rsidRPr="00D034AA">
        <w:rPr>
          <w:b/>
        </w:rPr>
        <w:t>rotocolo</w:t>
      </w:r>
      <w:r w:rsidR="002E30D9" w:rsidRPr="00D034AA">
        <w:rPr>
          <w:b/>
        </w:rPr>
        <w:t>s</w:t>
      </w:r>
      <w:r w:rsidR="00AE279B" w:rsidRPr="00D034AA">
        <w:rPr>
          <w:b/>
        </w:rPr>
        <w:t xml:space="preserve"> </w:t>
      </w:r>
      <w:r w:rsidR="00AE279B" w:rsidRPr="00D034AA">
        <w:t>o lista</w:t>
      </w:r>
      <w:r w:rsidR="002E30D9" w:rsidRPr="00D034AA">
        <w:t>s</w:t>
      </w:r>
      <w:r w:rsidR="00AE279B" w:rsidRPr="00D034AA">
        <w:t xml:space="preserve"> de comprobación</w:t>
      </w:r>
      <w:r w:rsidR="00712095" w:rsidRPr="00D034AA">
        <w:t xml:space="preserve"> que </w:t>
      </w:r>
      <w:r w:rsidRPr="00D034AA">
        <w:t>figura</w:t>
      </w:r>
      <w:r w:rsidR="00DD1B50" w:rsidRPr="00D034AA">
        <w:t>n</w:t>
      </w:r>
      <w:r w:rsidR="00712095" w:rsidRPr="00D034AA">
        <w:t xml:space="preserve"> como </w:t>
      </w:r>
      <w:r w:rsidR="00AE279B" w:rsidRPr="00D034AA">
        <w:rPr>
          <w:b/>
        </w:rPr>
        <w:t>A</w:t>
      </w:r>
      <w:r w:rsidR="00712095" w:rsidRPr="00D034AA">
        <w:rPr>
          <w:b/>
        </w:rPr>
        <w:t xml:space="preserve">nexo </w:t>
      </w:r>
      <w:r w:rsidR="00A41830" w:rsidRPr="00D034AA">
        <w:rPr>
          <w:b/>
        </w:rPr>
        <w:t>II</w:t>
      </w:r>
      <w:r w:rsidR="002E30D9" w:rsidRPr="00D034AA">
        <w:rPr>
          <w:b/>
        </w:rPr>
        <w:t xml:space="preserve"> </w:t>
      </w:r>
      <w:r w:rsidR="00DD1B50" w:rsidRPr="00D034AA">
        <w:t xml:space="preserve">(protocolo de inspección del ejercicio profesional veterinario – botiquín veterinario) y </w:t>
      </w:r>
      <w:r w:rsidR="00DD1B50" w:rsidRPr="00D034AA">
        <w:rPr>
          <w:b/>
        </w:rPr>
        <w:t>Anexo III</w:t>
      </w:r>
      <w:r w:rsidR="00DD1B50" w:rsidRPr="00D034AA">
        <w:t xml:space="preserve"> (protocolo de inspección del ejercicio profesional veterinario – prescripción excepcional y recetas</w:t>
      </w:r>
      <w:r w:rsidR="00DD1B50" w:rsidRPr="00D034AA">
        <w:rPr>
          <w:b/>
        </w:rPr>
        <w:t>)</w:t>
      </w:r>
      <w:r w:rsidR="00712095" w:rsidRPr="00D034AA">
        <w:t>.</w:t>
      </w:r>
      <w:r w:rsidR="00DD1B50" w:rsidRPr="00D034AA">
        <w:t xml:space="preserve"> </w:t>
      </w:r>
      <w:r w:rsidR="00D034AA" w:rsidRPr="00D034AA">
        <w:t xml:space="preserve">Siempre se cumplimentarán los </w:t>
      </w:r>
      <w:r w:rsidR="00076264">
        <w:t>dos</w:t>
      </w:r>
      <w:r w:rsidR="00D034AA" w:rsidRPr="00D034AA">
        <w:t xml:space="preserve"> protocolos, uno para los requisitos generales del botiquín y otro para los del veterinario clínico</w:t>
      </w:r>
      <w:r w:rsidR="00DD1B50" w:rsidRPr="00D034AA">
        <w:t xml:space="preserve">. En el caso de un </w:t>
      </w:r>
      <w:r w:rsidR="00D034AA" w:rsidRPr="00D034AA">
        <w:t>botiquín</w:t>
      </w:r>
      <w:r w:rsidR="00DD1B50" w:rsidRPr="00D034AA">
        <w:t xml:space="preserve"> veterinario</w:t>
      </w:r>
      <w:r w:rsidR="00D034AA" w:rsidRPr="00D034AA">
        <w:t xml:space="preserve"> con varios veterinarios responsables</w:t>
      </w:r>
      <w:r w:rsidR="00DD1B50" w:rsidRPr="00D034AA">
        <w:t xml:space="preserve"> se cumplimentará </w:t>
      </w:r>
      <w:r w:rsidR="00D034AA" w:rsidRPr="00D034AA">
        <w:t>un</w:t>
      </w:r>
      <w:r w:rsidR="00DD1B50" w:rsidRPr="00D034AA">
        <w:t xml:space="preserve"> protocolo del Anexo II y tantos protocolos del Anexo III como veterinarios forman parte del equipo.</w:t>
      </w:r>
    </w:p>
    <w:p w:rsidR="000A7B01" w:rsidRDefault="002076CE" w:rsidP="00DA335B">
      <w:pPr>
        <w:spacing w:before="120" w:after="120"/>
        <w:ind w:firstLine="357"/>
        <w:jc w:val="both"/>
      </w:pPr>
      <w:r w:rsidRPr="0053098B">
        <w:t>El resultado de la</w:t>
      </w:r>
      <w:r w:rsidR="00CE52CB" w:rsidRPr="0053098B">
        <w:t xml:space="preserve"> actuación </w:t>
      </w:r>
      <w:r w:rsidR="00675E2A" w:rsidRPr="0053098B">
        <w:t xml:space="preserve">de control </w:t>
      </w:r>
      <w:r w:rsidR="00CE52CB" w:rsidRPr="0053098B">
        <w:t>se reflejará</w:t>
      </w:r>
      <w:r w:rsidR="00712095" w:rsidRPr="0053098B">
        <w:t xml:space="preserve"> </w:t>
      </w:r>
      <w:r w:rsidR="00CE52CB" w:rsidRPr="0053098B">
        <w:t xml:space="preserve">en un </w:t>
      </w:r>
      <w:r w:rsidR="003957AA">
        <w:rPr>
          <w:b/>
        </w:rPr>
        <w:t>a</w:t>
      </w:r>
      <w:r w:rsidR="00CE52CB" w:rsidRPr="0053098B">
        <w:rPr>
          <w:b/>
        </w:rPr>
        <w:t>cta de inspección genérica</w:t>
      </w:r>
      <w:r w:rsidR="00AE279B" w:rsidRPr="0053098B">
        <w:rPr>
          <w:b/>
        </w:rPr>
        <w:t xml:space="preserve"> (A</w:t>
      </w:r>
      <w:r w:rsidR="00A41830" w:rsidRPr="0053098B">
        <w:rPr>
          <w:b/>
        </w:rPr>
        <w:t xml:space="preserve">nexo </w:t>
      </w:r>
      <w:r w:rsidR="002E30D9">
        <w:rPr>
          <w:b/>
        </w:rPr>
        <w:t>IV</w:t>
      </w:r>
      <w:r w:rsidR="00A41830" w:rsidRPr="0053098B">
        <w:rPr>
          <w:b/>
        </w:rPr>
        <w:t>)</w:t>
      </w:r>
      <w:r w:rsidR="007E2231" w:rsidRPr="0053098B">
        <w:rPr>
          <w:b/>
        </w:rPr>
        <w:t xml:space="preserve">, </w:t>
      </w:r>
      <w:r w:rsidR="007E2231" w:rsidRPr="0053098B">
        <w:t xml:space="preserve">cuyo motivo de inspección </w:t>
      </w:r>
      <w:r w:rsidR="00675E2A" w:rsidRPr="0053098B">
        <w:t>será</w:t>
      </w:r>
      <w:r w:rsidR="007E2231" w:rsidRPr="0053098B">
        <w:t xml:space="preserve"> </w:t>
      </w:r>
      <w:r w:rsidR="007E2231" w:rsidRPr="0053098B">
        <w:rPr>
          <w:i/>
        </w:rPr>
        <w:t xml:space="preserve">“inspección de control </w:t>
      </w:r>
      <w:r w:rsidR="003A15A0" w:rsidRPr="0053098B">
        <w:rPr>
          <w:i/>
        </w:rPr>
        <w:t>de medicamentos en</w:t>
      </w:r>
      <w:r w:rsidR="007E2231" w:rsidRPr="0053098B">
        <w:rPr>
          <w:i/>
        </w:rPr>
        <w:t xml:space="preserve"> </w:t>
      </w:r>
      <w:r w:rsidR="00675E2A" w:rsidRPr="0053098B">
        <w:rPr>
          <w:i/>
        </w:rPr>
        <w:t>el ejercicio profesional veterinario</w:t>
      </w:r>
      <w:r w:rsidR="007E2231" w:rsidRPr="0053098B">
        <w:rPr>
          <w:i/>
        </w:rPr>
        <w:t>”</w:t>
      </w:r>
      <w:r w:rsidR="007E2231" w:rsidRPr="0053098B">
        <w:rPr>
          <w:b/>
        </w:rPr>
        <w:t>,</w:t>
      </w:r>
      <w:r w:rsidR="00CE52CB" w:rsidRPr="0053098B">
        <w:t xml:space="preserve"> </w:t>
      </w:r>
      <w:r w:rsidR="00AE279B" w:rsidRPr="0053098B">
        <w:t>e</w:t>
      </w:r>
      <w:r w:rsidR="00A41830" w:rsidRPr="0053098B">
        <w:t xml:space="preserve"> </w:t>
      </w:r>
      <w:r w:rsidR="00CE52CB" w:rsidRPr="0053098B">
        <w:t>incluirá una referencia a las deficiencias encontradas</w:t>
      </w:r>
      <w:r w:rsidR="00A41830" w:rsidRPr="0053098B">
        <w:t>, en su caso.</w:t>
      </w:r>
      <w:r w:rsidR="000A7B01" w:rsidRPr="0053098B">
        <w:t xml:space="preserve"> </w:t>
      </w:r>
      <w:r w:rsidR="00F07D08" w:rsidRPr="0053098B">
        <w:t>Específicamente, e</w:t>
      </w:r>
      <w:r w:rsidRPr="0053098B">
        <w:t xml:space="preserve">n el acta se detallaran </w:t>
      </w:r>
      <w:r w:rsidR="00F07D08" w:rsidRPr="0053098B">
        <w:t>todos</w:t>
      </w:r>
      <w:r w:rsidR="000A7B01" w:rsidRPr="0053098B">
        <w:t xml:space="preserve"> los incumplimientos detectados </w:t>
      </w:r>
      <w:r w:rsidR="00F07D08" w:rsidRPr="0053098B">
        <w:t>relacionados</w:t>
      </w:r>
      <w:r w:rsidR="000A7B01" w:rsidRPr="0053098B">
        <w:t xml:space="preserve"> con la prescripción de antibióticos</w:t>
      </w:r>
      <w:r w:rsidR="0053098B" w:rsidRPr="0053098B">
        <w:t>, tanto referidos a registros como a recetas. Este dato es importante de cara a la lucha frente a resistencias antimicrobianas, y al registro y la comunicación de datos en este ámbito.</w:t>
      </w:r>
    </w:p>
    <w:p w:rsidR="00C119B5" w:rsidRDefault="00C119B5" w:rsidP="00DA335B">
      <w:pPr>
        <w:spacing w:before="120" w:after="120"/>
        <w:ind w:firstLine="357"/>
        <w:jc w:val="both"/>
      </w:pPr>
      <w:r>
        <w:t>Se recogerán 5 recetas para su comprobación en la oficina, según se especifica en el último punto.</w:t>
      </w:r>
    </w:p>
    <w:p w:rsidR="003957AA" w:rsidRDefault="003957AA" w:rsidP="00DA335B">
      <w:pPr>
        <w:spacing w:before="120" w:after="120"/>
        <w:ind w:firstLine="357"/>
        <w:jc w:val="both"/>
      </w:pPr>
    </w:p>
    <w:p w:rsidR="003957AA" w:rsidRPr="0053098B" w:rsidRDefault="003957AA" w:rsidP="00DA335B">
      <w:pPr>
        <w:spacing w:before="120" w:after="120"/>
        <w:ind w:firstLine="357"/>
        <w:jc w:val="both"/>
      </w:pPr>
    </w:p>
    <w:p w:rsidR="006C44EE" w:rsidRPr="0053098B" w:rsidRDefault="00F07D08" w:rsidP="0074584D">
      <w:pPr>
        <w:pStyle w:val="Ttulo1"/>
        <w:numPr>
          <w:ilvl w:val="0"/>
          <w:numId w:val="7"/>
        </w:numPr>
        <w:spacing w:before="240" w:after="120"/>
        <w:ind w:left="357" w:hanging="357"/>
        <w:contextualSpacing/>
      </w:pPr>
      <w:bookmarkStart w:id="11" w:name="_Toc6916934"/>
      <w:r w:rsidRPr="0053098B">
        <w:lastRenderedPageBreak/>
        <w:t>REQUISITOS DEL BOTIQUÍN VETERINARIO</w:t>
      </w:r>
      <w:bookmarkEnd w:id="11"/>
    </w:p>
    <w:p w:rsidR="003510B7" w:rsidRPr="003510B7" w:rsidRDefault="000103FF" w:rsidP="0074584D">
      <w:pPr>
        <w:numPr>
          <w:ilvl w:val="0"/>
          <w:numId w:val="3"/>
        </w:numPr>
        <w:spacing w:before="120" w:after="120"/>
        <w:jc w:val="both"/>
      </w:pPr>
      <w:r w:rsidRPr="000103FF">
        <w:t>El veterinario, para su ejercicio profesional, está autorizado para la tenencia, transporte, aplicación, uso</w:t>
      </w:r>
      <w:r w:rsidR="00AE279B">
        <w:t xml:space="preserve">, </w:t>
      </w:r>
      <w:r w:rsidRPr="000103FF">
        <w:t xml:space="preserve">administración o cesión de medicamentos veterinarios, sin que ello implique actividad comercial, con destino a los animales bajo su cuidado. </w:t>
      </w:r>
      <w:r w:rsidR="003510B7" w:rsidRPr="003510B7">
        <w:t>No obstante, podrá entregar al propietario o responsable del animal exclusivamente los medicamentos necesarios para la continuidad del tratamiento iniciado, cuando la misma pudiera verse comprometida.</w:t>
      </w:r>
    </w:p>
    <w:p w:rsidR="000D0373" w:rsidRDefault="000103FF" w:rsidP="0074584D">
      <w:pPr>
        <w:numPr>
          <w:ilvl w:val="0"/>
          <w:numId w:val="3"/>
        </w:numPr>
        <w:spacing w:before="120" w:after="120"/>
        <w:jc w:val="both"/>
      </w:pPr>
      <w:r w:rsidRPr="00EA25FC">
        <w:t xml:space="preserve">El veterinario deberá comunicar a la autoridad competente la existencia de los medicamentos y su ubicación (incluidas las unidades de clínica ambulante). </w:t>
      </w:r>
    </w:p>
    <w:p w:rsidR="00D51F4C" w:rsidRDefault="00F07D08" w:rsidP="0074584D">
      <w:pPr>
        <w:numPr>
          <w:ilvl w:val="0"/>
          <w:numId w:val="3"/>
        </w:numPr>
        <w:spacing w:before="120" w:after="120"/>
        <w:jc w:val="both"/>
      </w:pPr>
      <w:r w:rsidRPr="00EA25FC">
        <w:t xml:space="preserve">El </w:t>
      </w:r>
      <w:r w:rsidR="000D1DFE" w:rsidRPr="00EA25FC">
        <w:t xml:space="preserve">suministro de medicamentos a los </w:t>
      </w:r>
      <w:r w:rsidRPr="00EA25FC">
        <w:t xml:space="preserve">botiquines </w:t>
      </w:r>
      <w:r w:rsidR="000D1DFE" w:rsidRPr="00EA25FC">
        <w:t>veterinarios,</w:t>
      </w:r>
      <w:r w:rsidRPr="00EA25FC">
        <w:t xml:space="preserve"> solo podrá realizarse</w:t>
      </w:r>
      <w:r w:rsidR="000D1DFE" w:rsidRPr="00EA25FC">
        <w:t xml:space="preserve"> </w:t>
      </w:r>
      <w:r w:rsidRPr="00EA25FC">
        <w:t>desde</w:t>
      </w:r>
      <w:r w:rsidR="000D1DFE" w:rsidRPr="00EA25FC">
        <w:t xml:space="preserve"> la</w:t>
      </w:r>
      <w:r w:rsidR="002076CE" w:rsidRPr="00EA25FC">
        <w:t>s</w:t>
      </w:r>
      <w:r w:rsidR="000D1DFE" w:rsidRPr="00EA25FC">
        <w:t xml:space="preserve"> oficina</w:t>
      </w:r>
      <w:r w:rsidR="002076CE" w:rsidRPr="00EA25FC">
        <w:t>s</w:t>
      </w:r>
      <w:r w:rsidR="000D1DFE" w:rsidRPr="00EA25FC">
        <w:t xml:space="preserve"> de farmacia y los establecimie</w:t>
      </w:r>
      <w:r w:rsidR="00B2211B" w:rsidRPr="00EA25FC">
        <w:t>ntos comerciales detallistas. Este</w:t>
      </w:r>
      <w:r w:rsidR="000D1DFE" w:rsidRPr="000D1DFE">
        <w:t xml:space="preserve"> suministro se llevará a cabo </w:t>
      </w:r>
      <w:r w:rsidR="000D1DFE" w:rsidRPr="000D0373">
        <w:rPr>
          <w:bCs/>
        </w:rPr>
        <w:t>previa petición del veterinario</w:t>
      </w:r>
      <w:r w:rsidR="000D1DFE" w:rsidRPr="000D1DFE">
        <w:t xml:space="preserve"> de los medicamentos precisos, mediante hoja de pedido, susceptible de realizar por cualquier medio o sistema telemático, en cuyo caso el documento de pedido se sustituirá por el albarán de entrega. En dicho documento deberá figurar: la identificación personal y de colegiación del profesional veterinario, los datos referidos a la denominación y cantidad de medicamentos suministrados, identificación del suministrador, fecha y firma. </w:t>
      </w:r>
      <w:r w:rsidR="002E513A" w:rsidRPr="000D1DFE">
        <w:t>Toda</w:t>
      </w:r>
      <w:r w:rsidR="002E513A" w:rsidRPr="002E513A">
        <w:t xml:space="preserve"> la documentación </w:t>
      </w:r>
      <w:r w:rsidR="002E513A">
        <w:t>relativa a</w:t>
      </w:r>
      <w:r w:rsidR="00B16465">
        <w:t xml:space="preserve"> </w:t>
      </w:r>
      <w:r w:rsidR="002E513A">
        <w:t xml:space="preserve">la adquisición de medicamentos </w:t>
      </w:r>
      <w:r w:rsidR="002E513A" w:rsidRPr="002E513A">
        <w:t xml:space="preserve">(hoja de pedido o albarán de entrega) se mantendrá a disposición de la autoridad competente en cuyo ámbito se encuentre colegiado el veterinario durante un período de </w:t>
      </w:r>
      <w:r w:rsidR="00B16465">
        <w:t>5</w:t>
      </w:r>
      <w:r w:rsidR="002E513A" w:rsidRPr="002E513A">
        <w:t xml:space="preserve"> años.</w:t>
      </w:r>
    </w:p>
    <w:p w:rsidR="00B2211B" w:rsidRPr="00B2211B" w:rsidRDefault="00B2211B" w:rsidP="0074584D">
      <w:pPr>
        <w:pStyle w:val="Ttulo1"/>
        <w:numPr>
          <w:ilvl w:val="0"/>
          <w:numId w:val="7"/>
        </w:numPr>
        <w:spacing w:before="240" w:after="120"/>
        <w:ind w:left="357" w:hanging="357"/>
        <w:contextualSpacing/>
      </w:pPr>
      <w:bookmarkStart w:id="12" w:name="_Toc6916935"/>
      <w:r w:rsidRPr="000D0373">
        <w:t>CONSERVACIÓN DE MEDICAMENTOS</w:t>
      </w:r>
      <w:bookmarkEnd w:id="12"/>
    </w:p>
    <w:p w:rsidR="00FB7675" w:rsidRDefault="00F07D08" w:rsidP="00DA335B">
      <w:pPr>
        <w:spacing w:before="120" w:after="120"/>
        <w:jc w:val="both"/>
      </w:pPr>
      <w:r w:rsidRPr="000103FF">
        <w:t xml:space="preserve">Los medicamentos tienen que estar almacenados y conservados adecuadamente (envases originales e intactos, protegidos de la luz y la humedad, a temperatura adecuada). </w:t>
      </w:r>
      <w:r>
        <w:t xml:space="preserve">Los medicamentos que requieren frio llevan en la cara principal del envase los símbolos: </w:t>
      </w:r>
      <w:r w:rsidRPr="003510B7">
        <w:rPr>
          <w:b/>
          <w:sz w:val="28"/>
          <w:szCs w:val="28"/>
        </w:rPr>
        <w:t>*</w:t>
      </w:r>
      <w:r>
        <w:t xml:space="preserve"> (cuando debe conservarse en refrigeración) o </w:t>
      </w:r>
      <w:r w:rsidRPr="003510B7">
        <w:rPr>
          <w:b/>
          <w:sz w:val="28"/>
          <w:szCs w:val="28"/>
        </w:rPr>
        <w:t>**</w:t>
      </w:r>
      <w:r>
        <w:t xml:space="preserve"> (cuando deben conservarse en </w:t>
      </w:r>
      <w:r w:rsidRPr="00EA25FC">
        <w:t>congelación).</w:t>
      </w:r>
    </w:p>
    <w:p w:rsidR="00CA404E" w:rsidRPr="000D0373" w:rsidRDefault="00CA404E" w:rsidP="00DA335B">
      <w:pPr>
        <w:spacing w:before="120" w:after="120"/>
        <w:jc w:val="both"/>
      </w:pPr>
      <w:r>
        <w:t xml:space="preserve">La conservación de los medicamentos será adecuada tanto en el almacén, como en </w:t>
      </w:r>
      <w:bookmarkStart w:id="13" w:name="_Toc480375759"/>
      <w:r w:rsidRPr="000D0373">
        <w:t>los vehículos utilizados por los veterinarios y comunicados como unidades de clínica ambulante.</w:t>
      </w:r>
    </w:p>
    <w:p w:rsidR="00740F3C" w:rsidRPr="000D0373" w:rsidRDefault="00740F3C" w:rsidP="0074584D">
      <w:pPr>
        <w:pStyle w:val="Ttulo1"/>
        <w:numPr>
          <w:ilvl w:val="0"/>
          <w:numId w:val="7"/>
        </w:numPr>
        <w:spacing w:before="240" w:after="120"/>
        <w:ind w:left="357" w:hanging="357"/>
        <w:contextualSpacing/>
      </w:pPr>
      <w:bookmarkStart w:id="14" w:name="_Toc6916936"/>
      <w:r w:rsidRPr="000D0373">
        <w:t>REGISTRO DE MEDICAMENTOS</w:t>
      </w:r>
      <w:bookmarkEnd w:id="13"/>
      <w:bookmarkEnd w:id="14"/>
    </w:p>
    <w:p w:rsidR="006E76F6" w:rsidRDefault="006E76F6" w:rsidP="00DA335B">
      <w:pPr>
        <w:spacing w:before="120" w:after="120"/>
        <w:ind w:firstLine="708"/>
        <w:jc w:val="both"/>
      </w:pPr>
      <w:r>
        <w:t>Para</w:t>
      </w:r>
      <w:r w:rsidRPr="002E513A">
        <w:t xml:space="preserve"> </w:t>
      </w:r>
      <w:r>
        <w:t xml:space="preserve">cada </w:t>
      </w:r>
      <w:r w:rsidR="00B2211B">
        <w:t>entrada y cada</w:t>
      </w:r>
      <w:r w:rsidRPr="002E513A">
        <w:t xml:space="preserve"> uso o cesión de medicamentos sujetos a prescripción veterinaria</w:t>
      </w:r>
      <w:r>
        <w:t xml:space="preserve"> se llevará un registro </w:t>
      </w:r>
      <w:r w:rsidR="00B16465">
        <w:t>con</w:t>
      </w:r>
      <w:r>
        <w:t xml:space="preserve"> toda la información pertinente, que contendrá, al menos:</w:t>
      </w:r>
    </w:p>
    <w:p w:rsidR="006E76F6" w:rsidRDefault="006E76F6" w:rsidP="0074584D">
      <w:pPr>
        <w:numPr>
          <w:ilvl w:val="0"/>
          <w:numId w:val="4"/>
        </w:numPr>
        <w:spacing w:before="120" w:after="120"/>
        <w:ind w:left="1068"/>
        <w:jc w:val="both"/>
      </w:pPr>
      <w:r>
        <w:t>Fecha.</w:t>
      </w:r>
    </w:p>
    <w:p w:rsidR="006E76F6" w:rsidRDefault="006E76F6" w:rsidP="0074584D">
      <w:pPr>
        <w:numPr>
          <w:ilvl w:val="0"/>
          <w:numId w:val="4"/>
        </w:numPr>
        <w:spacing w:before="120" w:after="120"/>
        <w:ind w:left="1068"/>
        <w:jc w:val="both"/>
      </w:pPr>
      <w:r>
        <w:t>Identificación precisa del medicamento.</w:t>
      </w:r>
    </w:p>
    <w:p w:rsidR="006E76F6" w:rsidRDefault="006E76F6" w:rsidP="0074584D">
      <w:pPr>
        <w:numPr>
          <w:ilvl w:val="0"/>
          <w:numId w:val="4"/>
        </w:numPr>
        <w:spacing w:before="120" w:after="120"/>
        <w:ind w:left="1068"/>
        <w:jc w:val="both"/>
      </w:pPr>
      <w:r>
        <w:t>Número del lote de fabricación.</w:t>
      </w:r>
    </w:p>
    <w:p w:rsidR="006E76F6" w:rsidRDefault="006E76F6" w:rsidP="0074584D">
      <w:pPr>
        <w:numPr>
          <w:ilvl w:val="0"/>
          <w:numId w:val="4"/>
        </w:numPr>
        <w:spacing w:before="120" w:after="120"/>
        <w:ind w:left="1068"/>
        <w:jc w:val="both"/>
      </w:pPr>
      <w:r>
        <w:t>Cantidad recibida, o cantidad administrada, usada o cedida al propietario del animal.</w:t>
      </w:r>
    </w:p>
    <w:p w:rsidR="00B2211B" w:rsidRDefault="006E76F6" w:rsidP="0074584D">
      <w:pPr>
        <w:numPr>
          <w:ilvl w:val="0"/>
          <w:numId w:val="4"/>
        </w:numPr>
        <w:spacing w:before="120" w:after="120"/>
        <w:ind w:left="1068"/>
        <w:jc w:val="both"/>
      </w:pPr>
      <w:r>
        <w:t>Para las entradas: nombre y dirección del suministrador.</w:t>
      </w:r>
      <w:r w:rsidR="001D51D0">
        <w:t xml:space="preserve"> </w:t>
      </w:r>
    </w:p>
    <w:p w:rsidR="0031343C" w:rsidRDefault="0031343C" w:rsidP="0031343C">
      <w:pPr>
        <w:numPr>
          <w:ilvl w:val="0"/>
          <w:numId w:val="4"/>
        </w:numPr>
        <w:spacing w:before="120" w:after="120"/>
        <w:jc w:val="both"/>
      </w:pPr>
      <w:r w:rsidRPr="0031343C">
        <w:lastRenderedPageBreak/>
        <w:t>Para los medicamentos utilizados o cedidos: identificación del animal o animales, individual o por lotes, y, si se trata de animales de producción, CEA.</w:t>
      </w:r>
    </w:p>
    <w:p w:rsidR="00B2211B" w:rsidRDefault="00B2211B" w:rsidP="00DA335B">
      <w:pPr>
        <w:spacing w:before="120" w:after="120"/>
        <w:ind w:left="1068"/>
        <w:jc w:val="both"/>
      </w:pPr>
    </w:p>
    <w:p w:rsidR="008C794B" w:rsidRDefault="006E76F6" w:rsidP="0031343C">
      <w:pPr>
        <w:spacing w:before="120" w:after="120"/>
        <w:jc w:val="both"/>
      </w:pPr>
      <w:r>
        <w:t xml:space="preserve">Este registro, que podrá ser llevado mediante medios electrónicos, </w:t>
      </w:r>
      <w:r w:rsidR="00B16465" w:rsidRPr="000103FF">
        <w:t>se mantendrá a disposición de la autoridad competente durante un periodo de 5 años</w:t>
      </w:r>
      <w:r w:rsidR="00B16465">
        <w:t>.</w:t>
      </w:r>
    </w:p>
    <w:p w:rsidR="008C794B" w:rsidRPr="008C794B" w:rsidRDefault="00740F3C" w:rsidP="00DA335B">
      <w:pPr>
        <w:tabs>
          <w:tab w:val="num" w:pos="1068"/>
        </w:tabs>
        <w:spacing w:before="120" w:after="120"/>
        <w:jc w:val="both"/>
      </w:pPr>
      <w:r>
        <w:rPr>
          <w:bCs/>
        </w:rPr>
        <w:tab/>
      </w:r>
      <w:r w:rsidR="008C794B" w:rsidRPr="008C794B">
        <w:rPr>
          <w:bCs/>
        </w:rPr>
        <w:t>Los registros exigidos (registro de medicamentos y registro de la prescripción excepcional)</w:t>
      </w:r>
      <w:r w:rsidR="002076CE">
        <w:rPr>
          <w:bCs/>
        </w:rPr>
        <w:t xml:space="preserve"> </w:t>
      </w:r>
      <w:r w:rsidR="008C794B" w:rsidRPr="008C794B">
        <w:rPr>
          <w:bCs/>
        </w:rPr>
        <w:t>se llevaran en libros con páginas numeradas correlativamente, en los que se hagan constar de forma clara y legible los datos requeridos en cada caso. Se contempla la posibilidad de llevarlos por medios electrónicos.</w:t>
      </w:r>
      <w:r w:rsidR="0085280C">
        <w:rPr>
          <w:bCs/>
        </w:rPr>
        <w:t xml:space="preserve"> No obstante, el registro de uso o cesión de medicamentos podría llevarse a cabo mediante el archivo de recetas, siempre que en estas consten todos los datos exigidos para dicho registro de uso o </w:t>
      </w:r>
      <w:r w:rsidR="00042310">
        <w:rPr>
          <w:bCs/>
        </w:rPr>
        <w:t>cesión</w:t>
      </w:r>
      <w:r w:rsidR="0085280C">
        <w:rPr>
          <w:bCs/>
        </w:rPr>
        <w:t>.</w:t>
      </w:r>
      <w:r w:rsidR="006D7BEA">
        <w:rPr>
          <w:bCs/>
        </w:rPr>
        <w:t xml:space="preserve"> </w:t>
      </w:r>
      <w:r w:rsidR="006D7BEA" w:rsidRPr="006D7BEA">
        <w:rPr>
          <w:bCs/>
          <w:color w:val="FF0000"/>
        </w:rPr>
        <w:t xml:space="preserve">El registro de salidas podrá sustituirse por el archivo ordenado cronológicamente </w:t>
      </w:r>
      <w:r w:rsidR="006D7BEA">
        <w:rPr>
          <w:bCs/>
          <w:color w:val="FF0000"/>
        </w:rPr>
        <w:t>de las hojas</w:t>
      </w:r>
      <w:bookmarkStart w:id="15" w:name="_GoBack"/>
      <w:bookmarkEnd w:id="15"/>
      <w:r w:rsidR="006D7BEA" w:rsidRPr="006D7BEA">
        <w:rPr>
          <w:bCs/>
          <w:color w:val="FF0000"/>
        </w:rPr>
        <w:t xml:space="preserve"> de pedido o albaranes de entrega</w:t>
      </w:r>
      <w:r w:rsidR="006D7BEA">
        <w:rPr>
          <w:bCs/>
        </w:rPr>
        <w:t>.</w:t>
      </w:r>
    </w:p>
    <w:p w:rsidR="008C794B" w:rsidRPr="008C794B" w:rsidRDefault="008C794B" w:rsidP="0074584D">
      <w:pPr>
        <w:pStyle w:val="Ttulo1"/>
        <w:numPr>
          <w:ilvl w:val="0"/>
          <w:numId w:val="7"/>
        </w:numPr>
        <w:spacing w:before="240" w:after="120"/>
        <w:ind w:left="357" w:hanging="357"/>
        <w:contextualSpacing/>
      </w:pPr>
      <w:bookmarkStart w:id="16" w:name="_Toc480375760"/>
      <w:bookmarkStart w:id="17" w:name="_Toc6916937"/>
      <w:r w:rsidRPr="008C794B">
        <w:t>REGISTRO DE LA PRESCRIPCION EXCEPCIONAL</w:t>
      </w:r>
      <w:bookmarkEnd w:id="16"/>
      <w:bookmarkEnd w:id="17"/>
    </w:p>
    <w:p w:rsidR="00005EC5" w:rsidRDefault="00C8507E" w:rsidP="0074584D">
      <w:pPr>
        <w:numPr>
          <w:ilvl w:val="0"/>
          <w:numId w:val="8"/>
        </w:numPr>
        <w:spacing w:before="120" w:after="120"/>
        <w:jc w:val="both"/>
      </w:pPr>
      <w:r>
        <w:t xml:space="preserve">Se llevara a cabo un registro de las prescripciones excepcionales. </w:t>
      </w:r>
      <w:r w:rsidR="00B24444" w:rsidRPr="00B24444">
        <w:t>Cuando no existan medicamentos veterinarios autorizados para una enfermedad, en una especie animal productora de alimentos, el veterinario podrá, de forma excepcional y bajo su responsabilidad personal directa, en particular para evitar sufrimientos inaceptables, tratar al animal o animales afectados de una exp</w:t>
      </w:r>
      <w:r w:rsidR="00B2211B">
        <w:t>lotación concreta administrando</w:t>
      </w:r>
      <w:r w:rsidR="00B24444">
        <w:t xml:space="preserve"> </w:t>
      </w:r>
      <w:r w:rsidR="00306B16">
        <w:t>u</w:t>
      </w:r>
      <w:r w:rsidR="00B24444" w:rsidRPr="00B24444">
        <w:t>n medicamento veterinario, con similar efecto terapéutico al deseado, autorizado para su uso en otra especie o para tratar otra enfermedad de la misma especie</w:t>
      </w:r>
      <w:r w:rsidR="00B2211B">
        <w:t>.</w:t>
      </w:r>
    </w:p>
    <w:p w:rsidR="00005EC5" w:rsidRDefault="00D51F4C" w:rsidP="00DA335B">
      <w:pPr>
        <w:spacing w:before="120" w:after="120"/>
        <w:ind w:left="360" w:firstLine="207"/>
        <w:jc w:val="both"/>
      </w:pPr>
      <w:r>
        <w:t xml:space="preserve">Si el medicamento considerado en el párrafo anterior no existe, se podrá recurrir a </w:t>
      </w:r>
      <w:r w:rsidR="00A66312" w:rsidRPr="000103FF">
        <w:t>un medicamento de uso humano o un medicamento veterinario autorizado en otro E</w:t>
      </w:r>
      <w:r w:rsidR="00B24444">
        <w:t>stado Miembro de la UE</w:t>
      </w:r>
      <w:r w:rsidR="00A66312" w:rsidRPr="000103FF">
        <w:t xml:space="preserve">. </w:t>
      </w:r>
      <w:r w:rsidR="002C5FEF" w:rsidRPr="000103FF">
        <w:t xml:space="preserve">La sustancia farmacológicamente activa del medicamento deberá estar incluida en el </w:t>
      </w:r>
      <w:r w:rsidR="002C5FEF" w:rsidRPr="00C8507E">
        <w:rPr>
          <w:i/>
        </w:rPr>
        <w:t>Reglamento (UE) 37/2010</w:t>
      </w:r>
      <w:r w:rsidRPr="00C8507E">
        <w:rPr>
          <w:i/>
        </w:rPr>
        <w:t xml:space="preserve">, de la Comisión </w:t>
      </w:r>
      <w:r w:rsidR="002C5FEF" w:rsidRPr="00C8507E">
        <w:rPr>
          <w:i/>
        </w:rPr>
        <w:t>relativo a</w:t>
      </w:r>
      <w:r w:rsidR="002C5FEF" w:rsidRPr="000103FF">
        <w:t xml:space="preserve"> </w:t>
      </w:r>
      <w:r w:rsidR="002C5FEF" w:rsidRPr="00C8507E">
        <w:rPr>
          <w:i/>
        </w:rPr>
        <w:t xml:space="preserve">las sustancias </w:t>
      </w:r>
      <w:r w:rsidR="00EA344E" w:rsidRPr="00C8507E">
        <w:rPr>
          <w:i/>
        </w:rPr>
        <w:t>farmacológicamente</w:t>
      </w:r>
      <w:r w:rsidR="002C5FEF" w:rsidRPr="00C8507E">
        <w:rPr>
          <w:i/>
        </w:rPr>
        <w:t xml:space="preserve"> activas y su clasificación por lo que refiere a los LMR en los productos alimenticios de origen animal</w:t>
      </w:r>
      <w:r w:rsidR="00415524" w:rsidRPr="000103FF">
        <w:t xml:space="preserve">. </w:t>
      </w:r>
      <w:r w:rsidR="00414929" w:rsidRPr="000103FF">
        <w:t>E</w:t>
      </w:r>
      <w:r w:rsidR="00415524" w:rsidRPr="000103FF">
        <w:t xml:space="preserve">l veterinario deberá fijar un tiempo de espera </w:t>
      </w:r>
      <w:r w:rsidR="00CB3ADD" w:rsidRPr="000103FF">
        <w:t>a</w:t>
      </w:r>
      <w:r w:rsidR="00415524" w:rsidRPr="000103FF">
        <w:t>decuado.</w:t>
      </w:r>
      <w:r w:rsidR="00CB3ADD" w:rsidRPr="000103FF">
        <w:t xml:space="preserve"> </w:t>
      </w:r>
      <w:r w:rsidR="00240A00" w:rsidRPr="00240A00">
        <w:t xml:space="preserve">A falta de los medicamentos </w:t>
      </w:r>
      <w:r w:rsidR="00240A00">
        <w:t xml:space="preserve">mencionados anteriormente y </w:t>
      </w:r>
      <w:r w:rsidR="00240A00" w:rsidRPr="00240A00">
        <w:t xml:space="preserve">dentro de los límites </w:t>
      </w:r>
      <w:r w:rsidR="00240A00">
        <w:t>de la</w:t>
      </w:r>
      <w:r w:rsidR="00240A00" w:rsidRPr="00240A00">
        <w:t xml:space="preserve"> normativa en la materia, el veterinario podrá prescribir fórmulas magistrales, preparados oficinales o autovacunas de uso veterinario.</w:t>
      </w:r>
      <w:r w:rsidR="00240A00">
        <w:t xml:space="preserve"> </w:t>
      </w:r>
    </w:p>
    <w:p w:rsidR="0085280C" w:rsidRDefault="00306B16" w:rsidP="00DA335B">
      <w:pPr>
        <w:spacing w:before="120" w:after="120"/>
        <w:ind w:left="360" w:firstLine="207"/>
        <w:jc w:val="both"/>
      </w:pPr>
      <w:r>
        <w:t>En</w:t>
      </w:r>
      <w:r w:rsidR="00CB3ADD" w:rsidRPr="00D51F4C">
        <w:t xml:space="preserve"> la receta d</w:t>
      </w:r>
      <w:r w:rsidR="000103FF" w:rsidRPr="00D51F4C">
        <w:t>ebe</w:t>
      </w:r>
      <w:r w:rsidR="00B24444">
        <w:t>rá</w:t>
      </w:r>
      <w:r w:rsidR="000103FF" w:rsidRPr="00D51F4C">
        <w:t xml:space="preserve"> figurar</w:t>
      </w:r>
      <w:r w:rsidR="00B24444">
        <w:t>,</w:t>
      </w:r>
      <w:r w:rsidR="000103FF" w:rsidRPr="00D51F4C">
        <w:t xml:space="preserve"> además de los datos de una prescripción normal</w:t>
      </w:r>
      <w:r w:rsidR="00B24444">
        <w:t>,</w:t>
      </w:r>
      <w:r w:rsidR="000103FF" w:rsidRPr="00D51F4C">
        <w:t xml:space="preserve"> </w:t>
      </w:r>
      <w:r w:rsidR="00CB3ADD" w:rsidRPr="00D51F4C">
        <w:t xml:space="preserve">la leyenda </w:t>
      </w:r>
      <w:r w:rsidR="00CB3ADD" w:rsidRPr="00C8507E">
        <w:rPr>
          <w:i/>
        </w:rPr>
        <w:t>“prescripción excepcional”</w:t>
      </w:r>
      <w:r w:rsidR="00CB3ADD" w:rsidRPr="00D51F4C">
        <w:t>, el nº de animales a tratar y su identificación</w:t>
      </w:r>
      <w:r w:rsidR="00E95EF9" w:rsidRPr="00D51F4C">
        <w:t>, el diagnóstico, la vía, la dosis y la duración del tratamiento</w:t>
      </w:r>
      <w:r w:rsidR="00E95EF9" w:rsidRPr="000103FF">
        <w:t>.</w:t>
      </w:r>
      <w:r w:rsidR="00D51F4C" w:rsidRPr="00D51F4C">
        <w:t xml:space="preserve"> </w:t>
      </w:r>
    </w:p>
    <w:p w:rsidR="00E36CCC" w:rsidRDefault="00E36CCC" w:rsidP="00DA335B">
      <w:pPr>
        <w:spacing w:before="120" w:after="120"/>
        <w:ind w:left="360" w:firstLine="207"/>
        <w:jc w:val="both"/>
      </w:pPr>
      <w:r>
        <w:t>El veterinario deberá llevar un registro de la prescripción excepcional que contendrá, al menos: La fecha de examen de los animales, código REGA, el número de animales tratados y su identificación, individual o por lotes, el diagnóstico, los medicamentos prescritos, la vía y las dosis administradas, la duración del tratamiento, los tiempos de espera correspondientes.</w:t>
      </w:r>
    </w:p>
    <w:p w:rsidR="00B24444" w:rsidRDefault="00306B16" w:rsidP="00DA335B">
      <w:pPr>
        <w:spacing w:before="120" w:after="120"/>
        <w:ind w:left="360" w:firstLine="207"/>
        <w:jc w:val="both"/>
      </w:pPr>
      <w:r>
        <w:t>No obstante, aquellos</w:t>
      </w:r>
      <w:r w:rsidR="00D51F4C">
        <w:t xml:space="preserve"> </w:t>
      </w:r>
      <w:r w:rsidR="00005EC5">
        <w:t xml:space="preserve">datos </w:t>
      </w:r>
      <w:r w:rsidR="00D51F4C">
        <w:t>que ya consten en la receta, podrá</w:t>
      </w:r>
      <w:r w:rsidR="00B24444">
        <w:t>n</w:t>
      </w:r>
      <w:r w:rsidR="00D51F4C">
        <w:t xml:space="preserve"> sustituirse por la referencia a dicha receta. Este registro podrá ser llevado mediante medios electrónicos</w:t>
      </w:r>
      <w:r w:rsidR="00B2211B">
        <w:t xml:space="preserve"> y se conservará </w:t>
      </w:r>
      <w:r w:rsidR="00D51F4C">
        <w:t>durante  5 años.</w:t>
      </w:r>
    </w:p>
    <w:p w:rsidR="005C1215" w:rsidRDefault="006E76F6" w:rsidP="0074584D">
      <w:pPr>
        <w:numPr>
          <w:ilvl w:val="0"/>
          <w:numId w:val="8"/>
        </w:numPr>
        <w:spacing w:before="120" w:after="120"/>
        <w:jc w:val="both"/>
      </w:pPr>
      <w:r w:rsidRPr="006E76F6">
        <w:lastRenderedPageBreak/>
        <w:t>En la prescripción excepcional por vacío terapéutico, cuando se recurra a medicamentos de us</w:t>
      </w:r>
      <w:r>
        <w:t>o exclusivamente hospitalario</w:t>
      </w:r>
      <w:r w:rsidR="00005EC5">
        <w:t xml:space="preserve"> se deberá llevar</w:t>
      </w:r>
      <w:r>
        <w:t xml:space="preserve"> </w:t>
      </w:r>
      <w:r w:rsidRPr="006E76F6">
        <w:t>un registro detallado de los medicamentos de uso exclusivamente hospitalario prescritos, suministrados y aplicados al animal, durante 5 años</w:t>
      </w:r>
      <w:r>
        <w:t>.</w:t>
      </w:r>
    </w:p>
    <w:p w:rsidR="008C794B" w:rsidRPr="008C794B" w:rsidRDefault="00740F3C" w:rsidP="0074584D">
      <w:pPr>
        <w:pStyle w:val="Ttulo1"/>
        <w:numPr>
          <w:ilvl w:val="0"/>
          <w:numId w:val="7"/>
        </w:numPr>
        <w:spacing w:before="240" w:after="120"/>
        <w:ind w:left="357" w:hanging="357"/>
        <w:contextualSpacing/>
      </w:pPr>
      <w:bookmarkStart w:id="18" w:name="_Toc480375761"/>
      <w:bookmarkStart w:id="19" w:name="_Toc6916938"/>
      <w:r>
        <w:t>E</w:t>
      </w:r>
      <w:r w:rsidR="00525891">
        <w:t>MISION</w:t>
      </w:r>
      <w:r>
        <w:t xml:space="preserve"> </w:t>
      </w:r>
      <w:r w:rsidR="00F96626">
        <w:t xml:space="preserve">Y ARCHIVO </w:t>
      </w:r>
      <w:r>
        <w:t xml:space="preserve">DE </w:t>
      </w:r>
      <w:r w:rsidR="008C794B" w:rsidRPr="008C794B">
        <w:t>RECETAS</w:t>
      </w:r>
      <w:bookmarkEnd w:id="18"/>
      <w:bookmarkEnd w:id="19"/>
    </w:p>
    <w:p w:rsidR="0031343C" w:rsidRPr="0031343C" w:rsidRDefault="00005EC5" w:rsidP="0031343C">
      <w:pPr>
        <w:pStyle w:val="Prrafodelista"/>
        <w:numPr>
          <w:ilvl w:val="1"/>
          <w:numId w:val="5"/>
        </w:numPr>
        <w:jc w:val="both"/>
      </w:pPr>
      <w:r w:rsidRPr="00CF7103">
        <w:t xml:space="preserve">Se exigirá prescripción veterinaria mediante </w:t>
      </w:r>
      <w:r w:rsidRPr="0031343C">
        <w:rPr>
          <w:b/>
        </w:rPr>
        <w:t>receta</w:t>
      </w:r>
      <w:r w:rsidRPr="00CF7103">
        <w:t xml:space="preserve"> para la dispensación al público de todos aquellos medicamentos veterinarios sometidos a </w:t>
      </w:r>
      <w:r w:rsidR="009D2510" w:rsidRPr="00CF7103">
        <w:t xml:space="preserve">esta </w:t>
      </w:r>
      <w:r w:rsidRPr="00CF7103">
        <w:t xml:space="preserve">exigencia en su autorización de comercialización. Los medicamentos que precisan receta para su dispensación levan el símbolo  O  </w:t>
      </w:r>
      <w:r w:rsidR="009D2510" w:rsidRPr="00CF7103">
        <w:t xml:space="preserve">en la parte superior derecha de la cara principal del envase. </w:t>
      </w:r>
      <w:r w:rsidR="0031343C">
        <w:t>Todos los m</w:t>
      </w:r>
      <w:r w:rsidR="0031343C" w:rsidRPr="0031343C">
        <w:t>edicamentos destinados a los animales productores de alimentos</w:t>
      </w:r>
      <w:r w:rsidR="0031343C">
        <w:t xml:space="preserve"> están sujetos a prescripción mediante receta.</w:t>
      </w:r>
    </w:p>
    <w:p w:rsidR="002A2120" w:rsidRPr="00CF7103" w:rsidRDefault="002A2120" w:rsidP="0031343C">
      <w:pPr>
        <w:numPr>
          <w:ilvl w:val="1"/>
          <w:numId w:val="5"/>
        </w:numPr>
        <w:spacing w:before="120" w:after="120"/>
        <w:jc w:val="both"/>
      </w:pPr>
      <w:r w:rsidRPr="00CF7103">
        <w:t xml:space="preserve">En la base de datos </w:t>
      </w:r>
      <w:hyperlink r:id="rId11" w:history="1">
        <w:proofErr w:type="spellStart"/>
        <w:r w:rsidRPr="0031343C">
          <w:rPr>
            <w:rStyle w:val="Hipervnculo"/>
            <w:color w:val="auto"/>
          </w:rPr>
          <w:t>CimaVEt</w:t>
        </w:r>
        <w:proofErr w:type="spellEnd"/>
        <w:r w:rsidRPr="0031343C">
          <w:rPr>
            <w:rStyle w:val="Hipervnculo"/>
            <w:color w:val="auto"/>
          </w:rPr>
          <w:t xml:space="preserve"> de </w:t>
        </w:r>
        <w:r w:rsidRPr="0031343C">
          <w:rPr>
            <w:rStyle w:val="Hipervnculo"/>
            <w:color w:val="auto"/>
          </w:rPr>
          <w:t>l</w:t>
        </w:r>
        <w:r w:rsidRPr="0031343C">
          <w:rPr>
            <w:rStyle w:val="Hipervnculo"/>
            <w:color w:val="auto"/>
          </w:rPr>
          <w:t>a Agencia Española de Medicamentos</w:t>
        </w:r>
      </w:hyperlink>
      <w:r w:rsidRPr="00CF7103">
        <w:t xml:space="preserve">, pueden consultarse las fichas técnicas de todos los medicamentos veterinarios autorizados, para realizar cualquier comprobación de las recetas. </w:t>
      </w:r>
    </w:p>
    <w:p w:rsidR="00E95EF9" w:rsidRPr="00CF7103" w:rsidRDefault="00C8507E" w:rsidP="0074584D">
      <w:pPr>
        <w:numPr>
          <w:ilvl w:val="1"/>
          <w:numId w:val="5"/>
        </w:numPr>
        <w:spacing w:before="120" w:after="120" w:line="276" w:lineRule="auto"/>
        <w:jc w:val="both"/>
        <w:rPr>
          <w:i/>
        </w:rPr>
      </w:pPr>
      <w:r w:rsidRPr="00CF7103">
        <w:t>El veterinario expedirá y entregará receta de los medicamentos sujetos a prescripción al propietario o encargado de los animales, también cuando haga uso de los medicamentos de que dispone para su ejercicio profesional</w:t>
      </w:r>
      <w:r w:rsidR="004E4D4A">
        <w:t>,</w:t>
      </w:r>
      <w:r w:rsidRPr="00CF7103">
        <w:t xml:space="preserve"> en cuyo caso, retendrá también el original destinado al centro dispensador. La copia de las recetas extendidas se conservarán durante 5 años.</w:t>
      </w:r>
      <w:r w:rsidR="00FA293F" w:rsidRPr="00CF7103">
        <w:t xml:space="preserve"> </w:t>
      </w:r>
    </w:p>
    <w:p w:rsidR="00DB2852" w:rsidRPr="00CF7103" w:rsidRDefault="00C8507E" w:rsidP="0074584D">
      <w:pPr>
        <w:numPr>
          <w:ilvl w:val="1"/>
          <w:numId w:val="5"/>
        </w:numPr>
        <w:spacing w:before="120" w:after="120" w:line="276" w:lineRule="auto"/>
        <w:jc w:val="both"/>
        <w:rPr>
          <w:i/>
        </w:rPr>
      </w:pPr>
      <w:r w:rsidRPr="00CF7103">
        <w:t xml:space="preserve">El </w:t>
      </w:r>
      <w:r w:rsidRPr="00CF7103">
        <w:rPr>
          <w:i/>
        </w:rPr>
        <w:t>veterinario puede autorizar la utilización de un medicamento sobrante</w:t>
      </w:r>
      <w:r w:rsidRPr="00CF7103">
        <w:t xml:space="preserve"> de una prescripción anterior en una explotación, siempre que el producto no esté caducado y se haya conservado adecuadamente en su envase original. Para ello extenderá una receta con la </w:t>
      </w:r>
      <w:r w:rsidR="00306B16" w:rsidRPr="00CF7103">
        <w:t>leyenda</w:t>
      </w:r>
      <w:r w:rsidRPr="00CF7103">
        <w:t xml:space="preserve"> </w:t>
      </w:r>
      <w:r w:rsidRPr="00CF7103">
        <w:rPr>
          <w:i/>
        </w:rPr>
        <w:t>“no válida para dispensación</w:t>
      </w:r>
      <w:r w:rsidRPr="00CF7103">
        <w:t>” o similar</w:t>
      </w:r>
    </w:p>
    <w:p w:rsidR="008409FE" w:rsidRPr="00CF7103" w:rsidRDefault="007B09AA" w:rsidP="0074584D">
      <w:pPr>
        <w:numPr>
          <w:ilvl w:val="1"/>
          <w:numId w:val="5"/>
        </w:numPr>
        <w:tabs>
          <w:tab w:val="num" w:pos="720"/>
        </w:tabs>
        <w:spacing w:before="120" w:after="120" w:line="276" w:lineRule="auto"/>
        <w:ind w:left="714" w:hanging="357"/>
        <w:jc w:val="both"/>
        <w:rPr>
          <w:bCs/>
        </w:rPr>
      </w:pPr>
      <w:r w:rsidRPr="00CF7103">
        <w:rPr>
          <w:bCs/>
        </w:rPr>
        <w:t>Cuando el ejercicio profesional se lleve a cabo por más de un veterinario bajo el amparo de entidad jurídica, los medicamentos serán de uso exclusivo por el conjunto de veterinarios que formen parte en cada momento de la entidad jurídica correspondiente. Del control, responsabilidad y uso de los medicamentos responderán solidariamente todos ellos. Es decir, existirá un registro único de entradas, uso o cesión</w:t>
      </w:r>
      <w:r w:rsidR="00B2211B" w:rsidRPr="00CF7103">
        <w:rPr>
          <w:bCs/>
        </w:rPr>
        <w:t xml:space="preserve"> </w:t>
      </w:r>
      <w:r w:rsidR="000D1DFE" w:rsidRPr="00CF7103">
        <w:rPr>
          <w:bCs/>
        </w:rPr>
        <w:t>de medicamentos veterinarios en el caso de los botiquines de los equipos veterinarios.</w:t>
      </w:r>
    </w:p>
    <w:p w:rsidR="002D007F" w:rsidRPr="00CF7103" w:rsidRDefault="002D007F" w:rsidP="0074584D">
      <w:pPr>
        <w:numPr>
          <w:ilvl w:val="1"/>
          <w:numId w:val="5"/>
        </w:numPr>
        <w:tabs>
          <w:tab w:val="num" w:pos="720"/>
        </w:tabs>
        <w:spacing w:before="120" w:after="120" w:line="276" w:lineRule="auto"/>
        <w:ind w:left="720"/>
        <w:jc w:val="both"/>
        <w:rPr>
          <w:bCs/>
        </w:rPr>
      </w:pPr>
      <w:r w:rsidRPr="00CF7103">
        <w:rPr>
          <w:bCs/>
        </w:rPr>
        <w:t>Se comprobará que las recetas (electrónica o emitida manualmente) está</w:t>
      </w:r>
      <w:r w:rsidR="00C119B5" w:rsidRPr="00CF7103">
        <w:rPr>
          <w:bCs/>
        </w:rPr>
        <w:t>n</w:t>
      </w:r>
      <w:r w:rsidRPr="00CF7103">
        <w:rPr>
          <w:bCs/>
        </w:rPr>
        <w:t xml:space="preserve"> correctamente cumplimentada en todos sus campos. </w:t>
      </w:r>
    </w:p>
    <w:p w:rsidR="002D007F" w:rsidRPr="00CF7103" w:rsidRDefault="002D007F" w:rsidP="0074584D">
      <w:pPr>
        <w:numPr>
          <w:ilvl w:val="0"/>
          <w:numId w:val="6"/>
        </w:numPr>
        <w:spacing w:before="120" w:after="120" w:line="276" w:lineRule="auto"/>
        <w:jc w:val="both"/>
      </w:pPr>
      <w:r w:rsidRPr="00CF7103">
        <w:t xml:space="preserve">Medicamento prescrito (nombre comercial perfectamente legible, especificando la forma farmacéutica, el correspondiente formato del mismo, si existen varios, y el número de ejemplares que se dispensarán o se administrarán). </w:t>
      </w:r>
    </w:p>
    <w:p w:rsidR="002D007F" w:rsidRPr="00CF7103" w:rsidRDefault="002D007F" w:rsidP="0074584D">
      <w:pPr>
        <w:numPr>
          <w:ilvl w:val="0"/>
          <w:numId w:val="6"/>
        </w:numPr>
        <w:spacing w:before="120" w:after="120" w:line="276" w:lineRule="auto"/>
        <w:jc w:val="both"/>
      </w:pPr>
      <w:r w:rsidRPr="00CF7103">
        <w:t xml:space="preserve">Veterinario prescriptor (nombre y dos apellidos, dirección completa, número de colegiado y provincia de colegiación). </w:t>
      </w:r>
    </w:p>
    <w:p w:rsidR="002D007F" w:rsidRPr="00CF7103" w:rsidRDefault="002D007F" w:rsidP="0074584D">
      <w:pPr>
        <w:numPr>
          <w:ilvl w:val="0"/>
          <w:numId w:val="6"/>
        </w:numPr>
        <w:spacing w:before="120" w:after="120" w:line="276" w:lineRule="auto"/>
        <w:jc w:val="both"/>
      </w:pPr>
      <w:r w:rsidRPr="00CF7103">
        <w:t xml:space="preserve">Fecha y firma del veterinario que prescribe, etc. </w:t>
      </w:r>
    </w:p>
    <w:p w:rsidR="002D007F" w:rsidRPr="00CF7103" w:rsidRDefault="002D007F" w:rsidP="0074584D">
      <w:pPr>
        <w:numPr>
          <w:ilvl w:val="0"/>
          <w:numId w:val="6"/>
        </w:numPr>
        <w:spacing w:before="120" w:after="120" w:line="276" w:lineRule="auto"/>
        <w:jc w:val="both"/>
      </w:pPr>
      <w:r w:rsidRPr="00CF7103">
        <w:lastRenderedPageBreak/>
        <w:t>En el caso de una prescripción excepcional se comprobarán los detalles adicionales que exige la normativa</w:t>
      </w:r>
      <w:r w:rsidR="0047160F" w:rsidRPr="00CF7103">
        <w:t>.</w:t>
      </w:r>
      <w:r w:rsidRPr="00CF7103">
        <w:t xml:space="preserve"> Estas recetas deberán indicar claramente: “Prescripción excepcional”. </w:t>
      </w:r>
      <w:r w:rsidR="002E30D9">
        <w:t xml:space="preserve">Se adjunta como </w:t>
      </w:r>
      <w:r w:rsidRPr="002E30D9">
        <w:t xml:space="preserve">Anexo </w:t>
      </w:r>
      <w:r w:rsidR="002E30D9" w:rsidRPr="002E30D9">
        <w:t>V</w:t>
      </w:r>
      <w:r w:rsidR="002E30D9">
        <w:t xml:space="preserve"> un documento de p</w:t>
      </w:r>
      <w:r w:rsidRPr="00CF7103">
        <w:t>reguntas y respuestas sobre la prescripción ex</w:t>
      </w:r>
      <w:r w:rsidR="002E30D9">
        <w:t>cepcional por vacío terapéutico.</w:t>
      </w:r>
    </w:p>
    <w:p w:rsidR="002E30D9" w:rsidRDefault="002A2120" w:rsidP="004E4D4A">
      <w:pPr>
        <w:spacing w:before="120" w:after="120" w:line="276" w:lineRule="auto"/>
        <w:jc w:val="both"/>
      </w:pPr>
      <w:r w:rsidRPr="00CF7103">
        <w:t>Todos estos aspectos se encuentran regulados en los artículos 8</w:t>
      </w:r>
      <w:r w:rsidR="00CF7103">
        <w:t>1</w:t>
      </w:r>
      <w:r w:rsidRPr="00CF7103">
        <w:t xml:space="preserve"> y 82 del </w:t>
      </w:r>
      <w:hyperlink r:id="rId12" w:history="1">
        <w:r w:rsidRPr="00CF7103">
          <w:rPr>
            <w:rStyle w:val="Hipervnculo"/>
            <w:color w:val="auto"/>
          </w:rPr>
          <w:t>Real Decreto 1132/2010</w:t>
        </w:r>
      </w:hyperlink>
      <w:r w:rsidRPr="00CF7103">
        <w:t xml:space="preserve"> por el que se modifica el </w:t>
      </w:r>
      <w:hyperlink r:id="rId13" w:history="1">
        <w:r w:rsidRPr="00CF7103">
          <w:rPr>
            <w:rStyle w:val="Hipervnculo"/>
            <w:color w:val="auto"/>
          </w:rPr>
          <w:t>Real Decreto 109/1995</w:t>
        </w:r>
      </w:hyperlink>
      <w:r w:rsidRPr="00CF7103">
        <w:t>, sobre medicamentos veterinario</w:t>
      </w:r>
      <w:r w:rsidR="008410FD">
        <w:t>s</w:t>
      </w:r>
      <w:r w:rsidRPr="00CF7103">
        <w:t xml:space="preserve">. </w:t>
      </w:r>
    </w:p>
    <w:p w:rsidR="002A2120" w:rsidRDefault="002A2120" w:rsidP="004E4D4A">
      <w:pPr>
        <w:spacing w:before="120" w:after="120" w:line="276" w:lineRule="auto"/>
        <w:jc w:val="both"/>
        <w:rPr>
          <w:b/>
        </w:rPr>
      </w:pPr>
      <w:r w:rsidRPr="00CF7103">
        <w:rPr>
          <w:b/>
        </w:rPr>
        <w:t xml:space="preserve">Se recogerán </w:t>
      </w:r>
      <w:r w:rsidR="00C119B5" w:rsidRPr="00CF7103">
        <w:rPr>
          <w:b/>
        </w:rPr>
        <w:t>5</w:t>
      </w:r>
      <w:r w:rsidRPr="00CF7103">
        <w:rPr>
          <w:b/>
        </w:rPr>
        <w:t xml:space="preserve"> recetas</w:t>
      </w:r>
      <w:r w:rsidR="00C119B5" w:rsidRPr="00CF7103">
        <w:rPr>
          <w:b/>
        </w:rPr>
        <w:t xml:space="preserve"> por veterinario</w:t>
      </w:r>
      <w:r w:rsidRPr="00CF7103">
        <w:rPr>
          <w:b/>
        </w:rPr>
        <w:t xml:space="preserve"> </w:t>
      </w:r>
      <w:r w:rsidRPr="00171371">
        <w:rPr>
          <w:b/>
          <w:color w:val="FF0000"/>
        </w:rPr>
        <w:t>(preferentemente de prescripción excepcional</w:t>
      </w:r>
      <w:r w:rsidR="00BB006C">
        <w:rPr>
          <w:b/>
          <w:color w:val="FF0000"/>
        </w:rPr>
        <w:t xml:space="preserve"> o</w:t>
      </w:r>
      <w:r w:rsidR="00171371" w:rsidRPr="00171371">
        <w:rPr>
          <w:b/>
          <w:color w:val="FF0000"/>
        </w:rPr>
        <w:t xml:space="preserve"> medicamentos que incluyan antibióticos en su composición</w:t>
      </w:r>
      <w:r w:rsidRPr="00171371">
        <w:rPr>
          <w:b/>
          <w:color w:val="FF0000"/>
        </w:rPr>
        <w:t xml:space="preserve">) </w:t>
      </w:r>
      <w:r w:rsidRPr="00CF7103">
        <w:rPr>
          <w:b/>
        </w:rPr>
        <w:t xml:space="preserve">para su revisión en la oficina. Para ello se obtendrá copia de las mismas y se comprobará que incluye todas las menciones obligatorias y que las condiciones de prescripción del medicamento se adaptan a la ficha técnica del mismo: especie de destino, tiempo de espera, pertinencia </w:t>
      </w:r>
      <w:r w:rsidR="00CF7103">
        <w:rPr>
          <w:b/>
        </w:rPr>
        <w:t>de una prescripción excepcional, etc.</w:t>
      </w:r>
      <w:r w:rsidR="00BE64D6" w:rsidRPr="00BE64D6">
        <w:t xml:space="preserve"> </w:t>
      </w:r>
      <w:r w:rsidR="00BE64D6" w:rsidRPr="00BE64D6">
        <w:rPr>
          <w:b/>
        </w:rPr>
        <w:t>Estas recetas se adjuntarán al protocolo.</w:t>
      </w:r>
    </w:p>
    <w:p w:rsidR="007E73DD" w:rsidRPr="00397AD2" w:rsidRDefault="007E73DD" w:rsidP="004E4D4A">
      <w:pPr>
        <w:spacing w:before="120" w:after="120" w:line="276" w:lineRule="auto"/>
        <w:jc w:val="both"/>
        <w:rPr>
          <w:color w:val="FF0000"/>
        </w:rPr>
      </w:pPr>
      <w:r w:rsidRPr="00397AD2">
        <w:rPr>
          <w:color w:val="FF0000"/>
        </w:rPr>
        <w:t>Se revisará en las 5 recetas, y especialmente en el caso de antibióticos, si la prescripción se ha realizado siguiendo las recomendaciones de la ficha técnica como el haber realizado test de sensibilidad o haber administrado personalmente el medicamento y existen pruebas.</w:t>
      </w:r>
    </w:p>
    <w:p w:rsidR="00C41987" w:rsidRPr="007E73DD" w:rsidRDefault="00C41987" w:rsidP="0074584D">
      <w:pPr>
        <w:pStyle w:val="Ttulo1"/>
        <w:numPr>
          <w:ilvl w:val="0"/>
          <w:numId w:val="7"/>
        </w:numPr>
        <w:spacing w:before="240" w:after="120"/>
        <w:ind w:left="357" w:hanging="357"/>
        <w:contextualSpacing/>
        <w:rPr>
          <w:color w:val="FF0000"/>
        </w:rPr>
      </w:pPr>
      <w:bookmarkStart w:id="20" w:name="_Toc6916939"/>
      <w:r w:rsidRPr="007E73DD">
        <w:rPr>
          <w:color w:val="FF0000"/>
        </w:rPr>
        <w:t>COMUNICACIÓN ELECTRÓNICA DE PRESCRIPCIONES DE ANTIBIÓTICOS</w:t>
      </w:r>
      <w:bookmarkEnd w:id="20"/>
    </w:p>
    <w:p w:rsidR="007F16D8" w:rsidRPr="00BE64D6" w:rsidRDefault="007F16D8" w:rsidP="00DA335B">
      <w:pPr>
        <w:spacing w:before="120" w:after="120" w:line="276" w:lineRule="auto"/>
        <w:jc w:val="both"/>
        <w:rPr>
          <w:color w:val="FF0000"/>
        </w:rPr>
      </w:pPr>
      <w:r w:rsidRPr="00BE64D6">
        <w:rPr>
          <w:color w:val="FF0000"/>
        </w:rPr>
        <w:t>Desde el 1 de enero de 2019, los veterinarios deben comunicar las prescripciones de antibióticos o de piensos medicamentosos con antibióticos</w:t>
      </w:r>
      <w:r w:rsidR="00B61315" w:rsidRPr="00BE64D6">
        <w:rPr>
          <w:color w:val="FF0000"/>
        </w:rPr>
        <w:t xml:space="preserve">,  así como los administrados directamente, </w:t>
      </w:r>
      <w:r w:rsidRPr="00BE64D6">
        <w:rPr>
          <w:color w:val="FF0000"/>
        </w:rPr>
        <w:t xml:space="preserve"> a la base de datos centralizada de la Dirección General de Sanidad de la Producción Agraria del MAPA, llamada </w:t>
      </w:r>
      <w:r w:rsidRPr="00BE64D6">
        <w:rPr>
          <w:b/>
          <w:color w:val="FF0000"/>
        </w:rPr>
        <w:t>PRESVET</w:t>
      </w:r>
      <w:r w:rsidR="00B61315" w:rsidRPr="00BE64D6">
        <w:rPr>
          <w:color w:val="FF0000"/>
        </w:rPr>
        <w:t>,  con una periodicidad, al menos, mensual. Por tanto, es posible que las prescripciones hechas durante el último mes aún no estén cargadas en la base de datos.</w:t>
      </w:r>
    </w:p>
    <w:p w:rsidR="00B71185" w:rsidRPr="00BE64D6" w:rsidRDefault="007F16D8" w:rsidP="00DA335B">
      <w:pPr>
        <w:spacing w:before="120" w:after="120" w:line="276" w:lineRule="auto"/>
        <w:jc w:val="both"/>
        <w:rPr>
          <w:color w:val="FF0000"/>
        </w:rPr>
      </w:pPr>
      <w:r w:rsidRPr="00BE64D6">
        <w:rPr>
          <w:color w:val="FF0000"/>
        </w:rPr>
        <w:t>El control irá dirigido a verificar que se está efectuando la comunicación telemática de las prescripciones de antibióticos o piensos medicamentosos con antibióticos. Para ello se revisarán las recetas emitidas por el veterinario ya sea por vía manual o telemática, comprobando que las correspondientes a antibióticos se encuentran registradas en el sistema</w:t>
      </w:r>
      <w:r w:rsidR="00C7567F" w:rsidRPr="00BE64D6">
        <w:rPr>
          <w:color w:val="FF0000"/>
        </w:rPr>
        <w:t xml:space="preserve"> PRESVET. Para poder llevar a cabo el control, e</w:t>
      </w:r>
      <w:r w:rsidR="00B71185" w:rsidRPr="00BE64D6">
        <w:rPr>
          <w:color w:val="FF0000"/>
        </w:rPr>
        <w:t>l veterinario clínico accederá a la aplicación</w:t>
      </w:r>
      <w:r w:rsidR="00C7567F" w:rsidRPr="00BE64D6">
        <w:rPr>
          <w:color w:val="FF0000"/>
        </w:rPr>
        <w:t xml:space="preserve"> y mostrará</w:t>
      </w:r>
      <w:r w:rsidR="00B71185" w:rsidRPr="00BE64D6">
        <w:rPr>
          <w:color w:val="FF0000"/>
        </w:rPr>
        <w:t xml:space="preserve"> las prescripciones de antibióticos comunicadas.</w:t>
      </w:r>
    </w:p>
    <w:p w:rsidR="007F16D8" w:rsidRDefault="00B61315" w:rsidP="00DA335B">
      <w:pPr>
        <w:spacing w:before="120" w:after="120" w:line="276" w:lineRule="auto"/>
        <w:jc w:val="both"/>
        <w:rPr>
          <w:color w:val="FF0000"/>
        </w:rPr>
      </w:pPr>
      <w:r w:rsidRPr="00BE64D6">
        <w:rPr>
          <w:color w:val="FF0000"/>
        </w:rPr>
        <w:t>Este programa se dirige solamente a animales productores de</w:t>
      </w:r>
      <w:r w:rsidR="00BE64D6" w:rsidRPr="00BE64D6">
        <w:rPr>
          <w:color w:val="FF0000"/>
        </w:rPr>
        <w:t xml:space="preserve"> alimentos para consumo humano.</w:t>
      </w:r>
    </w:p>
    <w:p w:rsidR="006D7BEA" w:rsidRPr="00BE64D6" w:rsidRDefault="006D7BEA" w:rsidP="006D7BEA">
      <w:pPr>
        <w:spacing w:before="120" w:after="120" w:line="276" w:lineRule="auto"/>
        <w:jc w:val="center"/>
        <w:rPr>
          <w:color w:val="FF0000"/>
        </w:rPr>
      </w:pPr>
      <w:r>
        <w:rPr>
          <w:color w:val="FF0000"/>
        </w:rPr>
        <w:t>---</w:t>
      </w:r>
    </w:p>
    <w:sectPr w:rsidR="006D7BEA" w:rsidRPr="00BE64D6" w:rsidSect="00FB7675">
      <w:headerReference w:type="default" r:id="rId14"/>
      <w:pgSz w:w="11906" w:h="16838" w:code="9"/>
      <w:pgMar w:top="1417" w:right="1701" w:bottom="1417" w:left="1701" w:header="5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7AA" w:rsidRDefault="003957AA">
      <w:r>
        <w:separator/>
      </w:r>
    </w:p>
  </w:endnote>
  <w:endnote w:type="continuationSeparator" w:id="0">
    <w:p w:rsidR="003957AA" w:rsidRDefault="003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7AA" w:rsidRDefault="003957AA">
      <w:r>
        <w:separator/>
      </w:r>
    </w:p>
  </w:footnote>
  <w:footnote w:type="continuationSeparator" w:id="0">
    <w:p w:rsidR="003957AA" w:rsidRDefault="00395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4774"/>
      <w:gridCol w:w="2670"/>
    </w:tblGrid>
    <w:tr w:rsidR="003957AA" w:rsidRPr="00CD70CB">
      <w:tc>
        <w:tcPr>
          <w:tcW w:w="1972" w:type="dxa"/>
          <w:vMerge w:val="restart"/>
        </w:tcPr>
        <w:p w:rsidR="003957AA" w:rsidRPr="00CD70CB" w:rsidRDefault="003957AA" w:rsidP="00A45A19">
          <w:pPr>
            <w:pStyle w:val="Encabezado"/>
            <w:rPr>
              <w:rFonts w:ascii="Arial" w:hAnsi="Arial" w:cs="Arial"/>
              <w:sz w:val="20"/>
              <w:szCs w:val="20"/>
            </w:rPr>
          </w:pPr>
          <w:r>
            <w:rPr>
              <w:rFonts w:ascii="Arial" w:hAnsi="Arial" w:cs="Arial"/>
              <w:noProof/>
            </w:rPr>
            <w:drawing>
              <wp:inline distT="0" distB="0" distL="0" distR="0" wp14:anchorId="6ABB514F" wp14:editId="2F2B240F">
                <wp:extent cx="1232535" cy="891540"/>
                <wp:effectExtent l="0" t="0" r="5715" b="3810"/>
                <wp:docPr id="2" name="Imagen 2" descr="Consej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ejer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891540"/>
                        </a:xfrm>
                        <a:prstGeom prst="rect">
                          <a:avLst/>
                        </a:prstGeom>
                        <a:noFill/>
                        <a:ln>
                          <a:noFill/>
                        </a:ln>
                      </pic:spPr>
                    </pic:pic>
                  </a:graphicData>
                </a:graphic>
              </wp:inline>
            </w:drawing>
          </w:r>
        </w:p>
      </w:tc>
      <w:tc>
        <w:tcPr>
          <w:tcW w:w="4902" w:type="dxa"/>
          <w:vAlign w:val="center"/>
        </w:tcPr>
        <w:p w:rsidR="003957AA" w:rsidRPr="00CD70CB" w:rsidRDefault="003957AA" w:rsidP="00A45A19">
          <w:pPr>
            <w:pStyle w:val="Encabezado"/>
            <w:jc w:val="both"/>
            <w:rPr>
              <w:rFonts w:ascii="Arial" w:hAnsi="Arial" w:cs="Arial"/>
              <w:sz w:val="20"/>
              <w:szCs w:val="20"/>
            </w:rPr>
          </w:pPr>
          <w:r w:rsidRPr="00CD70CB">
            <w:rPr>
              <w:rFonts w:ascii="Arial" w:hAnsi="Arial" w:cs="Arial"/>
              <w:sz w:val="20"/>
              <w:szCs w:val="20"/>
            </w:rPr>
            <w:t>Tipo de documento: PROCEDIMIENTO NORMALIZADO DE TRABAJO (PNT)</w:t>
          </w:r>
        </w:p>
      </w:tc>
      <w:tc>
        <w:tcPr>
          <w:tcW w:w="2736" w:type="dxa"/>
          <w:vAlign w:val="center"/>
        </w:tcPr>
        <w:p w:rsidR="003957AA" w:rsidRPr="00CD70CB" w:rsidRDefault="003957AA" w:rsidP="00A24309">
          <w:pPr>
            <w:pStyle w:val="Encabezado"/>
            <w:rPr>
              <w:rFonts w:ascii="Arial" w:hAnsi="Arial" w:cs="Arial"/>
              <w:sz w:val="20"/>
              <w:szCs w:val="20"/>
            </w:rPr>
          </w:pPr>
          <w:r>
            <w:rPr>
              <w:rFonts w:ascii="Arial" w:hAnsi="Arial" w:cs="Arial"/>
              <w:sz w:val="20"/>
              <w:szCs w:val="20"/>
            </w:rPr>
            <w:t>Fecha: 24</w:t>
          </w:r>
          <w:r w:rsidRPr="00CD70CB">
            <w:rPr>
              <w:rFonts w:ascii="Arial" w:hAnsi="Arial" w:cs="Arial"/>
              <w:sz w:val="20"/>
              <w:szCs w:val="20"/>
            </w:rPr>
            <w:t>/0</w:t>
          </w:r>
          <w:r>
            <w:rPr>
              <w:rFonts w:ascii="Arial" w:hAnsi="Arial" w:cs="Arial"/>
              <w:sz w:val="20"/>
              <w:szCs w:val="20"/>
            </w:rPr>
            <w:t>4</w:t>
          </w:r>
          <w:r w:rsidRPr="00CD70CB">
            <w:rPr>
              <w:rFonts w:ascii="Arial" w:hAnsi="Arial" w:cs="Arial"/>
              <w:sz w:val="20"/>
              <w:szCs w:val="20"/>
            </w:rPr>
            <w:t>/201</w:t>
          </w:r>
          <w:r>
            <w:rPr>
              <w:rFonts w:ascii="Arial" w:hAnsi="Arial" w:cs="Arial"/>
              <w:sz w:val="20"/>
              <w:szCs w:val="20"/>
            </w:rPr>
            <w:t>9</w:t>
          </w:r>
        </w:p>
      </w:tc>
    </w:tr>
    <w:tr w:rsidR="003957AA" w:rsidRPr="00CD70CB">
      <w:trPr>
        <w:trHeight w:val="962"/>
      </w:trPr>
      <w:tc>
        <w:tcPr>
          <w:tcW w:w="1972" w:type="dxa"/>
          <w:vMerge/>
          <w:vAlign w:val="center"/>
        </w:tcPr>
        <w:p w:rsidR="003957AA" w:rsidRPr="00CD70CB" w:rsidRDefault="003957AA" w:rsidP="00A45A19">
          <w:pPr>
            <w:pStyle w:val="Encabezado"/>
            <w:ind w:right="72"/>
            <w:rPr>
              <w:rFonts w:ascii="Arial" w:hAnsi="Arial" w:cs="Arial"/>
              <w:sz w:val="20"/>
              <w:szCs w:val="20"/>
            </w:rPr>
          </w:pPr>
        </w:p>
      </w:tc>
      <w:tc>
        <w:tcPr>
          <w:tcW w:w="4902" w:type="dxa"/>
          <w:vAlign w:val="center"/>
        </w:tcPr>
        <w:p w:rsidR="003957AA" w:rsidRPr="00CD70CB" w:rsidRDefault="003957AA" w:rsidP="00415EE6">
          <w:pPr>
            <w:pStyle w:val="Encabezado"/>
            <w:ind w:right="72"/>
            <w:jc w:val="both"/>
            <w:rPr>
              <w:rFonts w:ascii="Arial" w:hAnsi="Arial" w:cs="Arial"/>
              <w:sz w:val="20"/>
              <w:szCs w:val="20"/>
            </w:rPr>
          </w:pPr>
          <w:r w:rsidRPr="00CD70CB">
            <w:rPr>
              <w:rFonts w:ascii="Arial" w:hAnsi="Arial" w:cs="Arial"/>
              <w:sz w:val="20"/>
              <w:szCs w:val="20"/>
            </w:rPr>
            <w:t xml:space="preserve">Nombre: PNT PARA </w:t>
          </w:r>
          <w:r>
            <w:rPr>
              <w:rFonts w:ascii="Arial" w:hAnsi="Arial" w:cs="Arial"/>
              <w:sz w:val="20"/>
              <w:szCs w:val="20"/>
            </w:rPr>
            <w:t xml:space="preserve">LAS </w:t>
          </w:r>
          <w:r w:rsidRPr="00C226DD">
            <w:rPr>
              <w:rFonts w:ascii="Arial" w:hAnsi="Arial" w:cs="Arial"/>
              <w:sz w:val="20"/>
              <w:szCs w:val="20"/>
            </w:rPr>
            <w:t xml:space="preserve">INSPECCIONES DE CONTROL DEL USO DE MEDICAMENTOS VETERINARIOS EN </w:t>
          </w:r>
          <w:r>
            <w:rPr>
              <w:rFonts w:ascii="Arial" w:hAnsi="Arial" w:cs="Arial"/>
              <w:sz w:val="20"/>
              <w:szCs w:val="20"/>
            </w:rPr>
            <w:t>EL EJERCICIO PROFESIONAL VETERINARIO</w:t>
          </w:r>
        </w:p>
      </w:tc>
      <w:tc>
        <w:tcPr>
          <w:tcW w:w="2736" w:type="dxa"/>
        </w:tcPr>
        <w:p w:rsidR="003957AA" w:rsidRPr="00CD70CB" w:rsidRDefault="003957AA" w:rsidP="00A45A19">
          <w:pPr>
            <w:pStyle w:val="Encabezado"/>
            <w:rPr>
              <w:rFonts w:ascii="Arial" w:hAnsi="Arial" w:cs="Arial"/>
              <w:sz w:val="20"/>
              <w:szCs w:val="20"/>
            </w:rPr>
          </w:pPr>
        </w:p>
        <w:p w:rsidR="003957AA" w:rsidRPr="00CD70CB" w:rsidRDefault="003957AA" w:rsidP="00A45A19">
          <w:pPr>
            <w:pStyle w:val="Encabezado"/>
            <w:rPr>
              <w:rFonts w:ascii="Arial" w:hAnsi="Arial" w:cs="Arial"/>
              <w:sz w:val="20"/>
              <w:szCs w:val="20"/>
            </w:rPr>
          </w:pPr>
          <w:r w:rsidRPr="00CD70CB">
            <w:rPr>
              <w:rFonts w:ascii="Arial" w:hAnsi="Arial" w:cs="Arial"/>
              <w:sz w:val="20"/>
              <w:szCs w:val="20"/>
            </w:rPr>
            <w:t xml:space="preserve">Página </w:t>
          </w:r>
          <w:r w:rsidRPr="00CD70CB">
            <w:rPr>
              <w:rFonts w:ascii="Arial" w:hAnsi="Arial" w:cs="Arial"/>
              <w:sz w:val="20"/>
              <w:szCs w:val="20"/>
            </w:rPr>
            <w:fldChar w:fldCharType="begin"/>
          </w:r>
          <w:r w:rsidRPr="00CD70CB">
            <w:rPr>
              <w:rFonts w:ascii="Arial" w:hAnsi="Arial" w:cs="Arial"/>
              <w:sz w:val="20"/>
              <w:szCs w:val="20"/>
            </w:rPr>
            <w:instrText xml:space="preserve"> PAGE </w:instrText>
          </w:r>
          <w:r w:rsidRPr="00CD70CB">
            <w:rPr>
              <w:rFonts w:ascii="Arial" w:hAnsi="Arial" w:cs="Arial"/>
              <w:sz w:val="20"/>
              <w:szCs w:val="20"/>
            </w:rPr>
            <w:fldChar w:fldCharType="separate"/>
          </w:r>
          <w:r w:rsidR="006D7BEA">
            <w:rPr>
              <w:rFonts w:ascii="Arial" w:hAnsi="Arial" w:cs="Arial"/>
              <w:noProof/>
              <w:sz w:val="20"/>
              <w:szCs w:val="20"/>
            </w:rPr>
            <w:t>8</w:t>
          </w:r>
          <w:r w:rsidRPr="00CD70CB">
            <w:rPr>
              <w:rFonts w:ascii="Arial" w:hAnsi="Arial" w:cs="Arial"/>
              <w:sz w:val="20"/>
              <w:szCs w:val="20"/>
            </w:rPr>
            <w:fldChar w:fldCharType="end"/>
          </w:r>
          <w:r w:rsidRPr="00CD70CB">
            <w:rPr>
              <w:rFonts w:ascii="Arial" w:hAnsi="Arial" w:cs="Arial"/>
              <w:sz w:val="20"/>
              <w:szCs w:val="20"/>
            </w:rPr>
            <w:t xml:space="preserve"> de </w:t>
          </w:r>
          <w:r w:rsidRPr="00CD70CB">
            <w:rPr>
              <w:rFonts w:ascii="Arial" w:hAnsi="Arial" w:cs="Arial"/>
              <w:sz w:val="20"/>
              <w:szCs w:val="20"/>
            </w:rPr>
            <w:fldChar w:fldCharType="begin"/>
          </w:r>
          <w:r w:rsidRPr="00CD70CB">
            <w:rPr>
              <w:rFonts w:ascii="Arial" w:hAnsi="Arial" w:cs="Arial"/>
              <w:sz w:val="20"/>
              <w:szCs w:val="20"/>
            </w:rPr>
            <w:instrText xml:space="preserve"> NUMPAGES </w:instrText>
          </w:r>
          <w:r w:rsidRPr="00CD70CB">
            <w:rPr>
              <w:rFonts w:ascii="Arial" w:hAnsi="Arial" w:cs="Arial"/>
              <w:sz w:val="20"/>
              <w:szCs w:val="20"/>
            </w:rPr>
            <w:fldChar w:fldCharType="separate"/>
          </w:r>
          <w:r w:rsidR="006D7BEA">
            <w:rPr>
              <w:rFonts w:ascii="Arial" w:hAnsi="Arial" w:cs="Arial"/>
              <w:noProof/>
              <w:sz w:val="20"/>
              <w:szCs w:val="20"/>
            </w:rPr>
            <w:t>10</w:t>
          </w:r>
          <w:r w:rsidRPr="00CD70CB">
            <w:rPr>
              <w:rFonts w:ascii="Arial" w:hAnsi="Arial" w:cs="Arial"/>
              <w:sz w:val="20"/>
              <w:szCs w:val="20"/>
            </w:rPr>
            <w:fldChar w:fldCharType="end"/>
          </w:r>
        </w:p>
        <w:p w:rsidR="003957AA" w:rsidRPr="00CD70CB" w:rsidRDefault="003957AA" w:rsidP="00A45A19">
          <w:pPr>
            <w:pStyle w:val="Encabezado"/>
            <w:rPr>
              <w:rFonts w:ascii="Arial" w:hAnsi="Arial" w:cs="Arial"/>
              <w:sz w:val="20"/>
              <w:szCs w:val="20"/>
            </w:rPr>
          </w:pPr>
          <w:r w:rsidRPr="00CD70CB">
            <w:rPr>
              <w:rFonts w:ascii="Arial" w:hAnsi="Arial" w:cs="Arial"/>
              <w:sz w:val="20"/>
              <w:szCs w:val="20"/>
            </w:rPr>
            <w:t xml:space="preserve">Versión: </w:t>
          </w:r>
          <w:r>
            <w:rPr>
              <w:rFonts w:ascii="Arial" w:hAnsi="Arial" w:cs="Arial"/>
              <w:sz w:val="20"/>
              <w:szCs w:val="20"/>
            </w:rPr>
            <w:t>3.0</w:t>
          </w:r>
        </w:p>
        <w:p w:rsidR="003957AA" w:rsidRPr="00CD70CB" w:rsidRDefault="003957AA" w:rsidP="00DC1669">
          <w:pPr>
            <w:pStyle w:val="Encabezado"/>
            <w:rPr>
              <w:rFonts w:ascii="Arial" w:hAnsi="Arial" w:cs="Arial"/>
              <w:sz w:val="20"/>
              <w:szCs w:val="20"/>
            </w:rPr>
          </w:pPr>
          <w:r w:rsidRPr="00CD70CB">
            <w:rPr>
              <w:rFonts w:ascii="Arial" w:hAnsi="Arial" w:cs="Arial"/>
              <w:sz w:val="20"/>
              <w:szCs w:val="20"/>
            </w:rPr>
            <w:t xml:space="preserve">Código: </w:t>
          </w:r>
          <w:r w:rsidRPr="00CD70CB">
            <w:rPr>
              <w:rFonts w:ascii="Arial" w:hAnsi="Arial" w:cs="Arial"/>
              <w:sz w:val="16"/>
              <w:szCs w:val="16"/>
            </w:rPr>
            <w:t>PNT</w:t>
          </w:r>
          <w:r>
            <w:rPr>
              <w:rFonts w:ascii="Arial" w:hAnsi="Arial" w:cs="Arial"/>
              <w:sz w:val="16"/>
              <w:szCs w:val="16"/>
            </w:rPr>
            <w:t>/MED-EPV</w:t>
          </w:r>
        </w:p>
      </w:tc>
    </w:tr>
  </w:tbl>
  <w:p w:rsidR="003957AA" w:rsidRDefault="003957AA" w:rsidP="00A45A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C33"/>
    <w:multiLevelType w:val="multilevel"/>
    <w:tmpl w:val="1D04AD06"/>
    <w:lvl w:ilvl="0">
      <w:start w:val="1"/>
      <w:numFmt w:val="decimal"/>
      <w:pStyle w:val="Ttulo1"/>
      <w:lvlText w:val="%1"/>
      <w:lvlJc w:val="left"/>
      <w:pPr>
        <w:tabs>
          <w:tab w:val="num" w:pos="716"/>
        </w:tabs>
        <w:ind w:left="716" w:hanging="432"/>
      </w:pPr>
      <w:rPr>
        <w:rFonts w:ascii="Arial" w:hAnsi="Arial" w:cs="Arial" w:hint="default"/>
        <w:b/>
        <w:bCs/>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936"/>
        </w:tabs>
        <w:ind w:left="936" w:hanging="576"/>
      </w:pPr>
      <w:rPr>
        <w:rFonts w:hint="default"/>
      </w:rPr>
    </w:lvl>
    <w:lvl w:ilvl="2">
      <w:start w:val="1"/>
      <w:numFmt w:val="decimal"/>
      <w:pStyle w:val="Ttulo3"/>
      <w:lvlText w:val="%1.%2.%3"/>
      <w:lvlJc w:val="left"/>
      <w:pPr>
        <w:tabs>
          <w:tab w:val="num" w:pos="1080"/>
        </w:tabs>
        <w:ind w:left="1080" w:hanging="720"/>
      </w:pPr>
      <w:rPr>
        <w:rFonts w:hint="default"/>
      </w:rPr>
    </w:lvl>
    <w:lvl w:ilvl="3">
      <w:start w:val="1"/>
      <w:numFmt w:val="decimal"/>
      <w:pStyle w:val="Ttulo4"/>
      <w:lvlText w:val="%1.%2.%3.%4"/>
      <w:lvlJc w:val="left"/>
      <w:pPr>
        <w:tabs>
          <w:tab w:val="num" w:pos="1224"/>
        </w:tabs>
        <w:ind w:left="1224" w:hanging="864"/>
      </w:pPr>
      <w:rPr>
        <w:rFonts w:hint="default"/>
      </w:rPr>
    </w:lvl>
    <w:lvl w:ilvl="4">
      <w:start w:val="1"/>
      <w:numFmt w:val="decimal"/>
      <w:pStyle w:val="Ttulo5"/>
      <w:lvlText w:val="%1.%2.%3.%4.%5"/>
      <w:lvlJc w:val="left"/>
      <w:pPr>
        <w:tabs>
          <w:tab w:val="num" w:pos="1368"/>
        </w:tabs>
        <w:ind w:left="1368" w:hanging="1008"/>
      </w:pPr>
      <w:rPr>
        <w:rFonts w:hint="default"/>
      </w:rPr>
    </w:lvl>
    <w:lvl w:ilvl="5">
      <w:start w:val="1"/>
      <w:numFmt w:val="decimal"/>
      <w:pStyle w:val="Ttulo6"/>
      <w:lvlText w:val="%1.%2.%3.%4.%5.%6"/>
      <w:lvlJc w:val="left"/>
      <w:pPr>
        <w:tabs>
          <w:tab w:val="num" w:pos="1512"/>
        </w:tabs>
        <w:ind w:left="1512" w:hanging="1152"/>
      </w:pPr>
      <w:rPr>
        <w:rFonts w:hint="default"/>
      </w:rPr>
    </w:lvl>
    <w:lvl w:ilvl="6">
      <w:start w:val="1"/>
      <w:numFmt w:val="decimal"/>
      <w:pStyle w:val="Ttulo7"/>
      <w:lvlText w:val="%1.%2.%3.%4.%5.%6.%7"/>
      <w:lvlJc w:val="left"/>
      <w:pPr>
        <w:tabs>
          <w:tab w:val="num" w:pos="1656"/>
        </w:tabs>
        <w:ind w:left="1656" w:hanging="1296"/>
      </w:pPr>
      <w:rPr>
        <w:rFonts w:hint="default"/>
      </w:rPr>
    </w:lvl>
    <w:lvl w:ilvl="7">
      <w:start w:val="1"/>
      <w:numFmt w:val="decimal"/>
      <w:pStyle w:val="Ttulo8"/>
      <w:lvlText w:val="%1.%2.%3.%4.%5.%6.%7.%8"/>
      <w:lvlJc w:val="left"/>
      <w:pPr>
        <w:tabs>
          <w:tab w:val="num" w:pos="1800"/>
        </w:tabs>
        <w:ind w:left="1800" w:hanging="1440"/>
      </w:pPr>
      <w:rPr>
        <w:rFonts w:hint="default"/>
      </w:rPr>
    </w:lvl>
    <w:lvl w:ilvl="8">
      <w:start w:val="1"/>
      <w:numFmt w:val="decimal"/>
      <w:pStyle w:val="Ttulo9"/>
      <w:lvlText w:val="%1.%2.%3.%4.%5.%6.%7.%8.%9"/>
      <w:lvlJc w:val="left"/>
      <w:pPr>
        <w:tabs>
          <w:tab w:val="num" w:pos="1944"/>
        </w:tabs>
        <w:ind w:left="1944" w:hanging="1584"/>
      </w:pPr>
      <w:rPr>
        <w:rFonts w:hint="default"/>
      </w:rPr>
    </w:lvl>
  </w:abstractNum>
  <w:abstractNum w:abstractNumId="1">
    <w:nsid w:val="1A30693B"/>
    <w:multiLevelType w:val="hybridMultilevel"/>
    <w:tmpl w:val="86EA3E2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7F75DE4"/>
    <w:multiLevelType w:val="hybridMultilevel"/>
    <w:tmpl w:val="70829736"/>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32A81246"/>
    <w:multiLevelType w:val="hybridMultilevel"/>
    <w:tmpl w:val="86EA3E2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36A638AE"/>
    <w:multiLevelType w:val="hybridMultilevel"/>
    <w:tmpl w:val="CC30EAC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nsid w:val="3E421A4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84F4CCD"/>
    <w:multiLevelType w:val="hybridMultilevel"/>
    <w:tmpl w:val="C1B25D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63347D26"/>
    <w:multiLevelType w:val="hybridMultilevel"/>
    <w:tmpl w:val="EAF66F24"/>
    <w:lvl w:ilvl="0" w:tplc="CDBAFBA2">
      <w:start w:val="1"/>
      <w:numFmt w:val="bullet"/>
      <w:lvlText w:val=""/>
      <w:lvlJc w:val="left"/>
      <w:pPr>
        <w:tabs>
          <w:tab w:val="num" w:pos="1068"/>
        </w:tabs>
        <w:ind w:left="708" w:firstLine="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C0A000F">
      <w:start w:val="1"/>
      <w:numFmt w:val="decimal"/>
      <w:lvlText w:val="%2."/>
      <w:lvlJc w:val="left"/>
      <w:pPr>
        <w:tabs>
          <w:tab w:val="num" w:pos="786"/>
        </w:tabs>
        <w:ind w:left="786" w:hanging="360"/>
      </w:pPr>
      <w:rPr>
        <w:rFonts w:hint="default"/>
        <w:i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6"/>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3D"/>
    <w:rsid w:val="00005EC5"/>
    <w:rsid w:val="000103FF"/>
    <w:rsid w:val="00023CC2"/>
    <w:rsid w:val="00030CF0"/>
    <w:rsid w:val="00042310"/>
    <w:rsid w:val="00073BC6"/>
    <w:rsid w:val="00076264"/>
    <w:rsid w:val="00076712"/>
    <w:rsid w:val="00077209"/>
    <w:rsid w:val="00081C44"/>
    <w:rsid w:val="00081C90"/>
    <w:rsid w:val="00083B5C"/>
    <w:rsid w:val="000844E0"/>
    <w:rsid w:val="0009070D"/>
    <w:rsid w:val="00095348"/>
    <w:rsid w:val="00096125"/>
    <w:rsid w:val="000A73BD"/>
    <w:rsid w:val="000A7587"/>
    <w:rsid w:val="000A7B01"/>
    <w:rsid w:val="000B0F69"/>
    <w:rsid w:val="000B15AA"/>
    <w:rsid w:val="000B3FD7"/>
    <w:rsid w:val="000C2FEB"/>
    <w:rsid w:val="000C55B6"/>
    <w:rsid w:val="000C5F48"/>
    <w:rsid w:val="000C7860"/>
    <w:rsid w:val="000D0373"/>
    <w:rsid w:val="000D1645"/>
    <w:rsid w:val="000D1DFE"/>
    <w:rsid w:val="000F039F"/>
    <w:rsid w:val="000F15C2"/>
    <w:rsid w:val="000F76B4"/>
    <w:rsid w:val="00102BF1"/>
    <w:rsid w:val="00103A30"/>
    <w:rsid w:val="00106010"/>
    <w:rsid w:val="00106492"/>
    <w:rsid w:val="00111DA8"/>
    <w:rsid w:val="00121F04"/>
    <w:rsid w:val="00137732"/>
    <w:rsid w:val="001405E8"/>
    <w:rsid w:val="00161E04"/>
    <w:rsid w:val="00170367"/>
    <w:rsid w:val="00171371"/>
    <w:rsid w:val="001762D3"/>
    <w:rsid w:val="001C053D"/>
    <w:rsid w:val="001C1CCF"/>
    <w:rsid w:val="001C5E25"/>
    <w:rsid w:val="001C6A99"/>
    <w:rsid w:val="001D51D0"/>
    <w:rsid w:val="001D57A5"/>
    <w:rsid w:val="001D619A"/>
    <w:rsid w:val="001E47C6"/>
    <w:rsid w:val="001F7999"/>
    <w:rsid w:val="0020197F"/>
    <w:rsid w:val="002076CE"/>
    <w:rsid w:val="00211626"/>
    <w:rsid w:val="00224776"/>
    <w:rsid w:val="00224FA7"/>
    <w:rsid w:val="0023488D"/>
    <w:rsid w:val="00236C75"/>
    <w:rsid w:val="00240A00"/>
    <w:rsid w:val="002424A2"/>
    <w:rsid w:val="00242DB6"/>
    <w:rsid w:val="002438A6"/>
    <w:rsid w:val="00244F0A"/>
    <w:rsid w:val="002505AA"/>
    <w:rsid w:val="002525EA"/>
    <w:rsid w:val="00255A93"/>
    <w:rsid w:val="0026319F"/>
    <w:rsid w:val="002917A0"/>
    <w:rsid w:val="002934DA"/>
    <w:rsid w:val="002A2120"/>
    <w:rsid w:val="002C5130"/>
    <w:rsid w:val="002C5FEF"/>
    <w:rsid w:val="002D007F"/>
    <w:rsid w:val="002D1856"/>
    <w:rsid w:val="002D4B38"/>
    <w:rsid w:val="002E30D9"/>
    <w:rsid w:val="002E3700"/>
    <w:rsid w:val="002E4F14"/>
    <w:rsid w:val="002E513A"/>
    <w:rsid w:val="002F1BD5"/>
    <w:rsid w:val="002F682F"/>
    <w:rsid w:val="00306B16"/>
    <w:rsid w:val="0031343C"/>
    <w:rsid w:val="00321F2F"/>
    <w:rsid w:val="00330EC3"/>
    <w:rsid w:val="003406BD"/>
    <w:rsid w:val="00341096"/>
    <w:rsid w:val="003424CA"/>
    <w:rsid w:val="00344B0F"/>
    <w:rsid w:val="00347FFE"/>
    <w:rsid w:val="003510B7"/>
    <w:rsid w:val="00356152"/>
    <w:rsid w:val="00373039"/>
    <w:rsid w:val="003863F8"/>
    <w:rsid w:val="00387EAD"/>
    <w:rsid w:val="003957AA"/>
    <w:rsid w:val="00397AD2"/>
    <w:rsid w:val="003A15A0"/>
    <w:rsid w:val="003B64D0"/>
    <w:rsid w:val="003C0B8E"/>
    <w:rsid w:val="003C2530"/>
    <w:rsid w:val="003F4F1A"/>
    <w:rsid w:val="004058B6"/>
    <w:rsid w:val="00414929"/>
    <w:rsid w:val="00415524"/>
    <w:rsid w:val="00415EE6"/>
    <w:rsid w:val="004301E3"/>
    <w:rsid w:val="004340F5"/>
    <w:rsid w:val="0044678E"/>
    <w:rsid w:val="00453CF4"/>
    <w:rsid w:val="00456BD3"/>
    <w:rsid w:val="0046385A"/>
    <w:rsid w:val="0047160F"/>
    <w:rsid w:val="00474195"/>
    <w:rsid w:val="00492A40"/>
    <w:rsid w:val="004B6E4C"/>
    <w:rsid w:val="004C149B"/>
    <w:rsid w:val="004C1CDD"/>
    <w:rsid w:val="004D20E6"/>
    <w:rsid w:val="004E10BD"/>
    <w:rsid w:val="004E2866"/>
    <w:rsid w:val="004E4D4A"/>
    <w:rsid w:val="004F7CA9"/>
    <w:rsid w:val="00500E15"/>
    <w:rsid w:val="005015F5"/>
    <w:rsid w:val="00505218"/>
    <w:rsid w:val="00512E27"/>
    <w:rsid w:val="00525891"/>
    <w:rsid w:val="0052788B"/>
    <w:rsid w:val="0053098B"/>
    <w:rsid w:val="00537664"/>
    <w:rsid w:val="005431B2"/>
    <w:rsid w:val="005433D1"/>
    <w:rsid w:val="005618BA"/>
    <w:rsid w:val="005626DE"/>
    <w:rsid w:val="0056501D"/>
    <w:rsid w:val="0057469A"/>
    <w:rsid w:val="00576845"/>
    <w:rsid w:val="005913C5"/>
    <w:rsid w:val="005A198B"/>
    <w:rsid w:val="005A2516"/>
    <w:rsid w:val="005B4FA2"/>
    <w:rsid w:val="005B5655"/>
    <w:rsid w:val="005B7964"/>
    <w:rsid w:val="005C1215"/>
    <w:rsid w:val="005D0049"/>
    <w:rsid w:val="005D40F0"/>
    <w:rsid w:val="005E4E09"/>
    <w:rsid w:val="005E7CCE"/>
    <w:rsid w:val="005F43CD"/>
    <w:rsid w:val="00624588"/>
    <w:rsid w:val="006538B2"/>
    <w:rsid w:val="006543E1"/>
    <w:rsid w:val="00662112"/>
    <w:rsid w:val="00674DD3"/>
    <w:rsid w:val="00675E2A"/>
    <w:rsid w:val="0068712C"/>
    <w:rsid w:val="00694B76"/>
    <w:rsid w:val="00696936"/>
    <w:rsid w:val="006A2291"/>
    <w:rsid w:val="006A5E6A"/>
    <w:rsid w:val="006B222C"/>
    <w:rsid w:val="006B3258"/>
    <w:rsid w:val="006C2696"/>
    <w:rsid w:val="006C4363"/>
    <w:rsid w:val="006C44EE"/>
    <w:rsid w:val="006D4797"/>
    <w:rsid w:val="006D7BEA"/>
    <w:rsid w:val="006E48FD"/>
    <w:rsid w:val="006E4D89"/>
    <w:rsid w:val="006E730B"/>
    <w:rsid w:val="006E76F6"/>
    <w:rsid w:val="006F1D8C"/>
    <w:rsid w:val="006F21B5"/>
    <w:rsid w:val="00706785"/>
    <w:rsid w:val="00710C4E"/>
    <w:rsid w:val="00712095"/>
    <w:rsid w:val="007263A7"/>
    <w:rsid w:val="00733A93"/>
    <w:rsid w:val="00740F3C"/>
    <w:rsid w:val="00743304"/>
    <w:rsid w:val="00743B86"/>
    <w:rsid w:val="0074584D"/>
    <w:rsid w:val="00770BBB"/>
    <w:rsid w:val="00772DD2"/>
    <w:rsid w:val="00787E14"/>
    <w:rsid w:val="00795416"/>
    <w:rsid w:val="007B09AA"/>
    <w:rsid w:val="007B1592"/>
    <w:rsid w:val="007C34E9"/>
    <w:rsid w:val="007C5AB8"/>
    <w:rsid w:val="007D4E07"/>
    <w:rsid w:val="007E2231"/>
    <w:rsid w:val="007E2AF5"/>
    <w:rsid w:val="007E73DD"/>
    <w:rsid w:val="007F1337"/>
    <w:rsid w:val="007F16D8"/>
    <w:rsid w:val="007F1EDC"/>
    <w:rsid w:val="007F24A5"/>
    <w:rsid w:val="007F6648"/>
    <w:rsid w:val="00802E9C"/>
    <w:rsid w:val="00817AD8"/>
    <w:rsid w:val="008409FE"/>
    <w:rsid w:val="008410FD"/>
    <w:rsid w:val="008419A0"/>
    <w:rsid w:val="0085280C"/>
    <w:rsid w:val="00870C90"/>
    <w:rsid w:val="00885649"/>
    <w:rsid w:val="00895134"/>
    <w:rsid w:val="008A48B8"/>
    <w:rsid w:val="008B5170"/>
    <w:rsid w:val="008C794B"/>
    <w:rsid w:val="008E13CB"/>
    <w:rsid w:val="008E3C83"/>
    <w:rsid w:val="008F6346"/>
    <w:rsid w:val="008F7C83"/>
    <w:rsid w:val="0090192A"/>
    <w:rsid w:val="009070E6"/>
    <w:rsid w:val="00925660"/>
    <w:rsid w:val="00932027"/>
    <w:rsid w:val="0094262C"/>
    <w:rsid w:val="009451A0"/>
    <w:rsid w:val="00946D6C"/>
    <w:rsid w:val="00951D60"/>
    <w:rsid w:val="00951FD5"/>
    <w:rsid w:val="00972626"/>
    <w:rsid w:val="00974EDB"/>
    <w:rsid w:val="00993B1D"/>
    <w:rsid w:val="009A2A2F"/>
    <w:rsid w:val="009A6EB1"/>
    <w:rsid w:val="009C00DA"/>
    <w:rsid w:val="009C1E38"/>
    <w:rsid w:val="009C25E0"/>
    <w:rsid w:val="009C4988"/>
    <w:rsid w:val="009C4CBA"/>
    <w:rsid w:val="009D2510"/>
    <w:rsid w:val="009E14D8"/>
    <w:rsid w:val="009E4C5A"/>
    <w:rsid w:val="009F191B"/>
    <w:rsid w:val="009F6CF2"/>
    <w:rsid w:val="00A0394F"/>
    <w:rsid w:val="00A03DBE"/>
    <w:rsid w:val="00A047BA"/>
    <w:rsid w:val="00A1340D"/>
    <w:rsid w:val="00A24309"/>
    <w:rsid w:val="00A3297E"/>
    <w:rsid w:val="00A41830"/>
    <w:rsid w:val="00A42FCE"/>
    <w:rsid w:val="00A45A19"/>
    <w:rsid w:val="00A468F4"/>
    <w:rsid w:val="00A55BAA"/>
    <w:rsid w:val="00A63DB1"/>
    <w:rsid w:val="00A66312"/>
    <w:rsid w:val="00A70832"/>
    <w:rsid w:val="00A7225A"/>
    <w:rsid w:val="00A74F1B"/>
    <w:rsid w:val="00A80A79"/>
    <w:rsid w:val="00A811BA"/>
    <w:rsid w:val="00A8319A"/>
    <w:rsid w:val="00AA19A7"/>
    <w:rsid w:val="00AA2923"/>
    <w:rsid w:val="00AA32DF"/>
    <w:rsid w:val="00AB0465"/>
    <w:rsid w:val="00AB0EDF"/>
    <w:rsid w:val="00AC611C"/>
    <w:rsid w:val="00AC649C"/>
    <w:rsid w:val="00AC6A9F"/>
    <w:rsid w:val="00AD5FEE"/>
    <w:rsid w:val="00AE279B"/>
    <w:rsid w:val="00AE311E"/>
    <w:rsid w:val="00AE4556"/>
    <w:rsid w:val="00B00F57"/>
    <w:rsid w:val="00B073F1"/>
    <w:rsid w:val="00B10700"/>
    <w:rsid w:val="00B16465"/>
    <w:rsid w:val="00B2211B"/>
    <w:rsid w:val="00B24444"/>
    <w:rsid w:val="00B24651"/>
    <w:rsid w:val="00B248B4"/>
    <w:rsid w:val="00B24AA6"/>
    <w:rsid w:val="00B33780"/>
    <w:rsid w:val="00B35A56"/>
    <w:rsid w:val="00B43094"/>
    <w:rsid w:val="00B469D7"/>
    <w:rsid w:val="00B47795"/>
    <w:rsid w:val="00B56777"/>
    <w:rsid w:val="00B61315"/>
    <w:rsid w:val="00B65404"/>
    <w:rsid w:val="00B7099B"/>
    <w:rsid w:val="00B71185"/>
    <w:rsid w:val="00B819F4"/>
    <w:rsid w:val="00B91414"/>
    <w:rsid w:val="00BA0D72"/>
    <w:rsid w:val="00BA4DA1"/>
    <w:rsid w:val="00BA5B36"/>
    <w:rsid w:val="00BB006C"/>
    <w:rsid w:val="00BC2E32"/>
    <w:rsid w:val="00BC573F"/>
    <w:rsid w:val="00BC71B2"/>
    <w:rsid w:val="00BD1197"/>
    <w:rsid w:val="00BD351C"/>
    <w:rsid w:val="00BD3A16"/>
    <w:rsid w:val="00BE47A7"/>
    <w:rsid w:val="00BE64D6"/>
    <w:rsid w:val="00BE66BC"/>
    <w:rsid w:val="00BF2C5A"/>
    <w:rsid w:val="00BF3732"/>
    <w:rsid w:val="00C04F31"/>
    <w:rsid w:val="00C119B5"/>
    <w:rsid w:val="00C12A94"/>
    <w:rsid w:val="00C25231"/>
    <w:rsid w:val="00C41987"/>
    <w:rsid w:val="00C41BCC"/>
    <w:rsid w:val="00C43D3C"/>
    <w:rsid w:val="00C5430E"/>
    <w:rsid w:val="00C61535"/>
    <w:rsid w:val="00C7567F"/>
    <w:rsid w:val="00C76156"/>
    <w:rsid w:val="00C8507E"/>
    <w:rsid w:val="00C93E54"/>
    <w:rsid w:val="00C94B9C"/>
    <w:rsid w:val="00CA404E"/>
    <w:rsid w:val="00CA503F"/>
    <w:rsid w:val="00CA5F64"/>
    <w:rsid w:val="00CB0A1A"/>
    <w:rsid w:val="00CB3ADD"/>
    <w:rsid w:val="00CB44FC"/>
    <w:rsid w:val="00CC0F60"/>
    <w:rsid w:val="00CC6D50"/>
    <w:rsid w:val="00CD22F6"/>
    <w:rsid w:val="00CE43D6"/>
    <w:rsid w:val="00CE52CB"/>
    <w:rsid w:val="00CF2149"/>
    <w:rsid w:val="00CF5542"/>
    <w:rsid w:val="00CF7103"/>
    <w:rsid w:val="00CF7CF6"/>
    <w:rsid w:val="00D034AA"/>
    <w:rsid w:val="00D15750"/>
    <w:rsid w:val="00D255F1"/>
    <w:rsid w:val="00D349FD"/>
    <w:rsid w:val="00D42ECB"/>
    <w:rsid w:val="00D43B64"/>
    <w:rsid w:val="00D4739E"/>
    <w:rsid w:val="00D51F4C"/>
    <w:rsid w:val="00D71E3F"/>
    <w:rsid w:val="00D802A4"/>
    <w:rsid w:val="00D86F0A"/>
    <w:rsid w:val="00D91A38"/>
    <w:rsid w:val="00D975D4"/>
    <w:rsid w:val="00DA1B08"/>
    <w:rsid w:val="00DA335B"/>
    <w:rsid w:val="00DA44F0"/>
    <w:rsid w:val="00DB2852"/>
    <w:rsid w:val="00DC1495"/>
    <w:rsid w:val="00DC1669"/>
    <w:rsid w:val="00DC64FA"/>
    <w:rsid w:val="00DC6F72"/>
    <w:rsid w:val="00DC70C4"/>
    <w:rsid w:val="00DD1006"/>
    <w:rsid w:val="00DD1B50"/>
    <w:rsid w:val="00DD4A2A"/>
    <w:rsid w:val="00DE1D97"/>
    <w:rsid w:val="00DF2B08"/>
    <w:rsid w:val="00DF2C18"/>
    <w:rsid w:val="00DF32B9"/>
    <w:rsid w:val="00DF3BEC"/>
    <w:rsid w:val="00DF5862"/>
    <w:rsid w:val="00DF591A"/>
    <w:rsid w:val="00E01307"/>
    <w:rsid w:val="00E0237D"/>
    <w:rsid w:val="00E06DAA"/>
    <w:rsid w:val="00E14291"/>
    <w:rsid w:val="00E176A8"/>
    <w:rsid w:val="00E2022B"/>
    <w:rsid w:val="00E23294"/>
    <w:rsid w:val="00E26898"/>
    <w:rsid w:val="00E33931"/>
    <w:rsid w:val="00E36CCC"/>
    <w:rsid w:val="00E5063A"/>
    <w:rsid w:val="00E52527"/>
    <w:rsid w:val="00E64AD5"/>
    <w:rsid w:val="00E7270C"/>
    <w:rsid w:val="00E72F95"/>
    <w:rsid w:val="00E844C9"/>
    <w:rsid w:val="00E84841"/>
    <w:rsid w:val="00E95044"/>
    <w:rsid w:val="00E95EF9"/>
    <w:rsid w:val="00EA25FC"/>
    <w:rsid w:val="00EA344E"/>
    <w:rsid w:val="00EB2A24"/>
    <w:rsid w:val="00EC3480"/>
    <w:rsid w:val="00ED0105"/>
    <w:rsid w:val="00ED1C20"/>
    <w:rsid w:val="00ED1C23"/>
    <w:rsid w:val="00EF148A"/>
    <w:rsid w:val="00EF33FC"/>
    <w:rsid w:val="00EF4103"/>
    <w:rsid w:val="00F05067"/>
    <w:rsid w:val="00F06C68"/>
    <w:rsid w:val="00F07D08"/>
    <w:rsid w:val="00F40A4A"/>
    <w:rsid w:val="00F50704"/>
    <w:rsid w:val="00F524F4"/>
    <w:rsid w:val="00F621CF"/>
    <w:rsid w:val="00F8138B"/>
    <w:rsid w:val="00F91386"/>
    <w:rsid w:val="00F96626"/>
    <w:rsid w:val="00FA293F"/>
    <w:rsid w:val="00FB127B"/>
    <w:rsid w:val="00FB7675"/>
    <w:rsid w:val="00FD081D"/>
    <w:rsid w:val="00FD14E0"/>
    <w:rsid w:val="00FD18EE"/>
    <w:rsid w:val="00FE3B7F"/>
    <w:rsid w:val="00FE3D0A"/>
    <w:rsid w:val="00FF1003"/>
    <w:rsid w:val="00FF3AA7"/>
    <w:rsid w:val="00FF7E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A19"/>
    <w:rPr>
      <w:sz w:val="24"/>
      <w:szCs w:val="24"/>
    </w:rPr>
  </w:style>
  <w:style w:type="paragraph" w:styleId="Ttulo1">
    <w:name w:val="heading 1"/>
    <w:basedOn w:val="Normal"/>
    <w:next w:val="Normal"/>
    <w:qFormat/>
    <w:rsid w:val="00C12A94"/>
    <w:pPr>
      <w:keepNext/>
      <w:numPr>
        <w:numId w:val="1"/>
      </w:numPr>
      <w:outlineLvl w:val="0"/>
    </w:pPr>
    <w:rPr>
      <w:rFonts w:ascii="Arial" w:hAnsi="Arial"/>
      <w:b/>
      <w:sz w:val="22"/>
      <w:szCs w:val="20"/>
    </w:rPr>
  </w:style>
  <w:style w:type="paragraph" w:styleId="Ttulo2">
    <w:name w:val="heading 2"/>
    <w:basedOn w:val="Lista2"/>
    <w:next w:val="Normal"/>
    <w:autoRedefine/>
    <w:qFormat/>
    <w:rsid w:val="00C12A94"/>
    <w:pPr>
      <w:keepNext/>
      <w:spacing w:before="240" w:after="60"/>
      <w:ind w:left="936" w:firstLine="0"/>
      <w:outlineLvl w:val="1"/>
    </w:pPr>
    <w:rPr>
      <w:rFonts w:ascii="Arial" w:hAnsi="Arial" w:cs="Arial"/>
      <w:b/>
      <w:bCs/>
      <w:i/>
      <w:iCs/>
      <w:sz w:val="22"/>
      <w:szCs w:val="28"/>
      <w:u w:val="single"/>
    </w:rPr>
  </w:style>
  <w:style w:type="paragraph" w:styleId="Ttulo3">
    <w:name w:val="heading 3"/>
    <w:basedOn w:val="Normal"/>
    <w:next w:val="Normal"/>
    <w:qFormat/>
    <w:rsid w:val="00BA5B36"/>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BA5B36"/>
    <w:pPr>
      <w:keepNext/>
      <w:numPr>
        <w:ilvl w:val="3"/>
        <w:numId w:val="1"/>
      </w:numPr>
      <w:spacing w:before="240" w:after="60"/>
      <w:outlineLvl w:val="3"/>
    </w:pPr>
    <w:rPr>
      <w:b/>
      <w:bCs/>
      <w:sz w:val="28"/>
      <w:szCs w:val="28"/>
    </w:rPr>
  </w:style>
  <w:style w:type="paragraph" w:styleId="Ttulo5">
    <w:name w:val="heading 5"/>
    <w:basedOn w:val="Normal"/>
    <w:next w:val="Normal"/>
    <w:qFormat/>
    <w:rsid w:val="00BA5B36"/>
    <w:pPr>
      <w:numPr>
        <w:ilvl w:val="4"/>
        <w:numId w:val="1"/>
      </w:numPr>
      <w:spacing w:before="240" w:after="60"/>
      <w:outlineLvl w:val="4"/>
    </w:pPr>
    <w:rPr>
      <w:b/>
      <w:bCs/>
      <w:i/>
      <w:iCs/>
      <w:sz w:val="26"/>
      <w:szCs w:val="26"/>
    </w:rPr>
  </w:style>
  <w:style w:type="paragraph" w:styleId="Ttulo6">
    <w:name w:val="heading 6"/>
    <w:basedOn w:val="Normal"/>
    <w:next w:val="Normal"/>
    <w:qFormat/>
    <w:rsid w:val="00BA5B36"/>
    <w:pPr>
      <w:numPr>
        <w:ilvl w:val="5"/>
        <w:numId w:val="1"/>
      </w:numPr>
      <w:spacing w:before="240" w:after="60"/>
      <w:outlineLvl w:val="5"/>
    </w:pPr>
    <w:rPr>
      <w:b/>
      <w:bCs/>
      <w:sz w:val="22"/>
      <w:szCs w:val="22"/>
    </w:rPr>
  </w:style>
  <w:style w:type="paragraph" w:styleId="Ttulo7">
    <w:name w:val="heading 7"/>
    <w:basedOn w:val="Normal"/>
    <w:next w:val="Normal"/>
    <w:qFormat/>
    <w:rsid w:val="00BA5B36"/>
    <w:pPr>
      <w:numPr>
        <w:ilvl w:val="6"/>
        <w:numId w:val="1"/>
      </w:numPr>
      <w:spacing w:before="240" w:after="60"/>
      <w:outlineLvl w:val="6"/>
    </w:pPr>
  </w:style>
  <w:style w:type="paragraph" w:styleId="Ttulo8">
    <w:name w:val="heading 8"/>
    <w:basedOn w:val="Normal"/>
    <w:next w:val="Normal"/>
    <w:qFormat/>
    <w:rsid w:val="00BA5B36"/>
    <w:pPr>
      <w:numPr>
        <w:ilvl w:val="7"/>
        <w:numId w:val="1"/>
      </w:numPr>
      <w:spacing w:before="240" w:after="60"/>
      <w:outlineLvl w:val="7"/>
    </w:pPr>
    <w:rPr>
      <w:i/>
      <w:iCs/>
    </w:rPr>
  </w:style>
  <w:style w:type="paragraph" w:styleId="Ttulo9">
    <w:name w:val="heading 9"/>
    <w:basedOn w:val="Normal"/>
    <w:next w:val="Normal"/>
    <w:qFormat/>
    <w:rsid w:val="00BA5B36"/>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C053D"/>
    <w:pPr>
      <w:tabs>
        <w:tab w:val="center" w:pos="4252"/>
        <w:tab w:val="right" w:pos="8504"/>
      </w:tabs>
    </w:pPr>
  </w:style>
  <w:style w:type="character" w:styleId="Nmerodepgina">
    <w:name w:val="page number"/>
    <w:basedOn w:val="Fuentedeprrafopredeter"/>
    <w:rsid w:val="001C053D"/>
  </w:style>
  <w:style w:type="paragraph" w:styleId="Piedepgina">
    <w:name w:val="footer"/>
    <w:basedOn w:val="Normal"/>
    <w:rsid w:val="00A1340D"/>
    <w:pPr>
      <w:tabs>
        <w:tab w:val="center" w:pos="4252"/>
        <w:tab w:val="right" w:pos="8504"/>
      </w:tabs>
    </w:pPr>
  </w:style>
  <w:style w:type="table" w:styleId="Tablaconcuadrcula">
    <w:name w:val="Table Grid"/>
    <w:basedOn w:val="Tablanormal"/>
    <w:rsid w:val="00A13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rsid w:val="00E72F95"/>
    <w:rPr>
      <w:color w:val="0000FF"/>
      <w:u w:val="single"/>
    </w:rPr>
  </w:style>
  <w:style w:type="paragraph" w:customStyle="1" w:styleId="a">
    <w:basedOn w:val="Normal"/>
    <w:rsid w:val="00DF5862"/>
    <w:rPr>
      <w:lang w:val="pl-PL" w:eastAsia="pl-PL"/>
    </w:rPr>
  </w:style>
  <w:style w:type="paragraph" w:styleId="Textoindependiente2">
    <w:name w:val="Body Text 2"/>
    <w:basedOn w:val="Normal"/>
    <w:rsid w:val="00CC0F60"/>
    <w:pPr>
      <w:jc w:val="both"/>
    </w:pPr>
    <w:rPr>
      <w:szCs w:val="20"/>
    </w:rPr>
  </w:style>
  <w:style w:type="character" w:styleId="Hipervnculovisitado">
    <w:name w:val="FollowedHyperlink"/>
    <w:rsid w:val="006B222C"/>
    <w:rPr>
      <w:color w:val="800080"/>
      <w:u w:val="single"/>
    </w:rPr>
  </w:style>
  <w:style w:type="paragraph" w:customStyle="1" w:styleId="CarCar1CarCarCarCarCarCarCarCarCar">
    <w:name w:val="Car Car1 Car Car Car Car Car Car Car Car Car"/>
    <w:basedOn w:val="Normal"/>
    <w:rsid w:val="00DB2852"/>
    <w:rPr>
      <w:lang w:val="pl-PL" w:eastAsia="pl-PL"/>
    </w:rPr>
  </w:style>
  <w:style w:type="paragraph" w:styleId="TDC1">
    <w:name w:val="toc 1"/>
    <w:basedOn w:val="Normal"/>
    <w:next w:val="Normal"/>
    <w:autoRedefine/>
    <w:uiPriority w:val="39"/>
    <w:qFormat/>
    <w:rsid w:val="00BD1197"/>
    <w:pPr>
      <w:tabs>
        <w:tab w:val="right" w:leader="dot" w:pos="9530"/>
      </w:tabs>
      <w:spacing w:before="120" w:after="120"/>
    </w:pPr>
    <w:rPr>
      <w:b/>
      <w:sz w:val="22"/>
      <w:szCs w:val="22"/>
    </w:rPr>
  </w:style>
  <w:style w:type="paragraph" w:styleId="Lista2">
    <w:name w:val="List 2"/>
    <w:basedOn w:val="Normal"/>
    <w:rsid w:val="00BA5B36"/>
    <w:pPr>
      <w:ind w:left="566" w:hanging="283"/>
    </w:pPr>
  </w:style>
  <w:style w:type="paragraph" w:customStyle="1" w:styleId="subtitulo3">
    <w:name w:val="subtitulo3"/>
    <w:basedOn w:val="Normal"/>
    <w:rsid w:val="00BA5B36"/>
    <w:pPr>
      <w:spacing w:before="240" w:after="120"/>
      <w:jc w:val="both"/>
    </w:pPr>
    <w:rPr>
      <w:b/>
      <w:i/>
      <w:u w:val="single"/>
    </w:rPr>
  </w:style>
  <w:style w:type="paragraph" w:styleId="Textodeglobo">
    <w:name w:val="Balloon Text"/>
    <w:basedOn w:val="Normal"/>
    <w:link w:val="TextodegloboCar"/>
    <w:rsid w:val="00356152"/>
    <w:rPr>
      <w:rFonts w:ascii="Tahoma" w:hAnsi="Tahoma" w:cs="Tahoma"/>
      <w:sz w:val="16"/>
      <w:szCs w:val="16"/>
    </w:rPr>
  </w:style>
  <w:style w:type="character" w:customStyle="1" w:styleId="TextodegloboCar">
    <w:name w:val="Texto de globo Car"/>
    <w:link w:val="Textodeglobo"/>
    <w:rsid w:val="00356152"/>
    <w:rPr>
      <w:rFonts w:ascii="Tahoma" w:hAnsi="Tahoma" w:cs="Tahoma"/>
      <w:sz w:val="16"/>
      <w:szCs w:val="16"/>
    </w:rPr>
  </w:style>
  <w:style w:type="paragraph" w:styleId="TtulodeTDC">
    <w:name w:val="TOC Heading"/>
    <w:basedOn w:val="Ttulo1"/>
    <w:next w:val="Normal"/>
    <w:uiPriority w:val="39"/>
    <w:semiHidden/>
    <w:unhideWhenUsed/>
    <w:qFormat/>
    <w:rsid w:val="000B15AA"/>
    <w:pPr>
      <w:keepLines/>
      <w:numPr>
        <w:numId w:val="0"/>
      </w:numPr>
      <w:spacing w:before="480" w:line="276" w:lineRule="auto"/>
      <w:outlineLvl w:val="9"/>
    </w:pPr>
    <w:rPr>
      <w:rFonts w:ascii="Cambria" w:hAnsi="Cambria"/>
      <w:bCs/>
      <w:color w:val="365F91"/>
      <w:sz w:val="28"/>
      <w:szCs w:val="28"/>
    </w:rPr>
  </w:style>
  <w:style w:type="paragraph" w:styleId="TDC2">
    <w:name w:val="toc 2"/>
    <w:basedOn w:val="Normal"/>
    <w:next w:val="Normal"/>
    <w:autoRedefine/>
    <w:uiPriority w:val="39"/>
    <w:unhideWhenUsed/>
    <w:qFormat/>
    <w:rsid w:val="000B15AA"/>
    <w:pPr>
      <w:spacing w:after="100" w:line="276" w:lineRule="auto"/>
      <w:ind w:left="220"/>
    </w:pPr>
    <w:rPr>
      <w:rFonts w:ascii="Calibri" w:hAnsi="Calibri"/>
      <w:sz w:val="22"/>
      <w:szCs w:val="22"/>
    </w:rPr>
  </w:style>
  <w:style w:type="paragraph" w:styleId="TDC3">
    <w:name w:val="toc 3"/>
    <w:basedOn w:val="Normal"/>
    <w:next w:val="Normal"/>
    <w:autoRedefine/>
    <w:uiPriority w:val="39"/>
    <w:unhideWhenUsed/>
    <w:qFormat/>
    <w:rsid w:val="000B15AA"/>
    <w:pPr>
      <w:spacing w:after="100" w:line="276" w:lineRule="auto"/>
      <w:ind w:left="440"/>
    </w:pPr>
    <w:rPr>
      <w:rFonts w:ascii="Calibri" w:hAnsi="Calibri"/>
      <w:sz w:val="22"/>
      <w:szCs w:val="22"/>
    </w:rPr>
  </w:style>
  <w:style w:type="paragraph" w:styleId="Ttulo">
    <w:name w:val="Title"/>
    <w:basedOn w:val="Normal"/>
    <w:next w:val="Normal"/>
    <w:link w:val="TtuloCar"/>
    <w:qFormat/>
    <w:rsid w:val="00F96626"/>
    <w:pPr>
      <w:spacing w:before="240" w:after="60"/>
      <w:outlineLvl w:val="0"/>
    </w:pPr>
    <w:rPr>
      <w:rFonts w:ascii="Arial" w:hAnsi="Arial"/>
      <w:b/>
      <w:bCs/>
      <w:kern w:val="28"/>
      <w:sz w:val="22"/>
      <w:szCs w:val="32"/>
    </w:rPr>
  </w:style>
  <w:style w:type="character" w:customStyle="1" w:styleId="TtuloCar">
    <w:name w:val="Título Car"/>
    <w:link w:val="Ttulo"/>
    <w:rsid w:val="00F96626"/>
    <w:rPr>
      <w:rFonts w:ascii="Arial" w:eastAsia="Times New Roman" w:hAnsi="Arial" w:cs="Times New Roman"/>
      <w:b/>
      <w:bCs/>
      <w:kern w:val="28"/>
      <w:sz w:val="22"/>
      <w:szCs w:val="32"/>
    </w:rPr>
  </w:style>
  <w:style w:type="paragraph" w:customStyle="1" w:styleId="CarCarCarCar">
    <w:name w:val="Car Car Car Car"/>
    <w:basedOn w:val="Normal"/>
    <w:rsid w:val="002D007F"/>
    <w:rPr>
      <w:lang w:val="pl-PL" w:eastAsia="pl-PL"/>
    </w:rPr>
  </w:style>
  <w:style w:type="paragraph" w:styleId="Prrafodelista">
    <w:name w:val="List Paragraph"/>
    <w:basedOn w:val="Normal"/>
    <w:uiPriority w:val="34"/>
    <w:qFormat/>
    <w:rsid w:val="00FF10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A19"/>
    <w:rPr>
      <w:sz w:val="24"/>
      <w:szCs w:val="24"/>
    </w:rPr>
  </w:style>
  <w:style w:type="paragraph" w:styleId="Ttulo1">
    <w:name w:val="heading 1"/>
    <w:basedOn w:val="Normal"/>
    <w:next w:val="Normal"/>
    <w:qFormat/>
    <w:rsid w:val="00C12A94"/>
    <w:pPr>
      <w:keepNext/>
      <w:numPr>
        <w:numId w:val="1"/>
      </w:numPr>
      <w:outlineLvl w:val="0"/>
    </w:pPr>
    <w:rPr>
      <w:rFonts w:ascii="Arial" w:hAnsi="Arial"/>
      <w:b/>
      <w:sz w:val="22"/>
      <w:szCs w:val="20"/>
    </w:rPr>
  </w:style>
  <w:style w:type="paragraph" w:styleId="Ttulo2">
    <w:name w:val="heading 2"/>
    <w:basedOn w:val="Lista2"/>
    <w:next w:val="Normal"/>
    <w:autoRedefine/>
    <w:qFormat/>
    <w:rsid w:val="00C12A94"/>
    <w:pPr>
      <w:keepNext/>
      <w:spacing w:before="240" w:after="60"/>
      <w:ind w:left="936" w:firstLine="0"/>
      <w:outlineLvl w:val="1"/>
    </w:pPr>
    <w:rPr>
      <w:rFonts w:ascii="Arial" w:hAnsi="Arial" w:cs="Arial"/>
      <w:b/>
      <w:bCs/>
      <w:i/>
      <w:iCs/>
      <w:sz w:val="22"/>
      <w:szCs w:val="28"/>
      <w:u w:val="single"/>
    </w:rPr>
  </w:style>
  <w:style w:type="paragraph" w:styleId="Ttulo3">
    <w:name w:val="heading 3"/>
    <w:basedOn w:val="Normal"/>
    <w:next w:val="Normal"/>
    <w:qFormat/>
    <w:rsid w:val="00BA5B36"/>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BA5B36"/>
    <w:pPr>
      <w:keepNext/>
      <w:numPr>
        <w:ilvl w:val="3"/>
        <w:numId w:val="1"/>
      </w:numPr>
      <w:spacing w:before="240" w:after="60"/>
      <w:outlineLvl w:val="3"/>
    </w:pPr>
    <w:rPr>
      <w:b/>
      <w:bCs/>
      <w:sz w:val="28"/>
      <w:szCs w:val="28"/>
    </w:rPr>
  </w:style>
  <w:style w:type="paragraph" w:styleId="Ttulo5">
    <w:name w:val="heading 5"/>
    <w:basedOn w:val="Normal"/>
    <w:next w:val="Normal"/>
    <w:qFormat/>
    <w:rsid w:val="00BA5B36"/>
    <w:pPr>
      <w:numPr>
        <w:ilvl w:val="4"/>
        <w:numId w:val="1"/>
      </w:numPr>
      <w:spacing w:before="240" w:after="60"/>
      <w:outlineLvl w:val="4"/>
    </w:pPr>
    <w:rPr>
      <w:b/>
      <w:bCs/>
      <w:i/>
      <w:iCs/>
      <w:sz w:val="26"/>
      <w:szCs w:val="26"/>
    </w:rPr>
  </w:style>
  <w:style w:type="paragraph" w:styleId="Ttulo6">
    <w:name w:val="heading 6"/>
    <w:basedOn w:val="Normal"/>
    <w:next w:val="Normal"/>
    <w:qFormat/>
    <w:rsid w:val="00BA5B36"/>
    <w:pPr>
      <w:numPr>
        <w:ilvl w:val="5"/>
        <w:numId w:val="1"/>
      </w:numPr>
      <w:spacing w:before="240" w:after="60"/>
      <w:outlineLvl w:val="5"/>
    </w:pPr>
    <w:rPr>
      <w:b/>
      <w:bCs/>
      <w:sz w:val="22"/>
      <w:szCs w:val="22"/>
    </w:rPr>
  </w:style>
  <w:style w:type="paragraph" w:styleId="Ttulo7">
    <w:name w:val="heading 7"/>
    <w:basedOn w:val="Normal"/>
    <w:next w:val="Normal"/>
    <w:qFormat/>
    <w:rsid w:val="00BA5B36"/>
    <w:pPr>
      <w:numPr>
        <w:ilvl w:val="6"/>
        <w:numId w:val="1"/>
      </w:numPr>
      <w:spacing w:before="240" w:after="60"/>
      <w:outlineLvl w:val="6"/>
    </w:pPr>
  </w:style>
  <w:style w:type="paragraph" w:styleId="Ttulo8">
    <w:name w:val="heading 8"/>
    <w:basedOn w:val="Normal"/>
    <w:next w:val="Normal"/>
    <w:qFormat/>
    <w:rsid w:val="00BA5B36"/>
    <w:pPr>
      <w:numPr>
        <w:ilvl w:val="7"/>
        <w:numId w:val="1"/>
      </w:numPr>
      <w:spacing w:before="240" w:after="60"/>
      <w:outlineLvl w:val="7"/>
    </w:pPr>
    <w:rPr>
      <w:i/>
      <w:iCs/>
    </w:rPr>
  </w:style>
  <w:style w:type="paragraph" w:styleId="Ttulo9">
    <w:name w:val="heading 9"/>
    <w:basedOn w:val="Normal"/>
    <w:next w:val="Normal"/>
    <w:qFormat/>
    <w:rsid w:val="00BA5B36"/>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C053D"/>
    <w:pPr>
      <w:tabs>
        <w:tab w:val="center" w:pos="4252"/>
        <w:tab w:val="right" w:pos="8504"/>
      </w:tabs>
    </w:pPr>
  </w:style>
  <w:style w:type="character" w:styleId="Nmerodepgina">
    <w:name w:val="page number"/>
    <w:basedOn w:val="Fuentedeprrafopredeter"/>
    <w:rsid w:val="001C053D"/>
  </w:style>
  <w:style w:type="paragraph" w:styleId="Piedepgina">
    <w:name w:val="footer"/>
    <w:basedOn w:val="Normal"/>
    <w:rsid w:val="00A1340D"/>
    <w:pPr>
      <w:tabs>
        <w:tab w:val="center" w:pos="4252"/>
        <w:tab w:val="right" w:pos="8504"/>
      </w:tabs>
    </w:pPr>
  </w:style>
  <w:style w:type="table" w:styleId="Tablaconcuadrcula">
    <w:name w:val="Table Grid"/>
    <w:basedOn w:val="Tablanormal"/>
    <w:rsid w:val="00A13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rsid w:val="00E72F95"/>
    <w:rPr>
      <w:color w:val="0000FF"/>
      <w:u w:val="single"/>
    </w:rPr>
  </w:style>
  <w:style w:type="paragraph" w:customStyle="1" w:styleId="a">
    <w:basedOn w:val="Normal"/>
    <w:rsid w:val="00DF5862"/>
    <w:rPr>
      <w:lang w:val="pl-PL" w:eastAsia="pl-PL"/>
    </w:rPr>
  </w:style>
  <w:style w:type="paragraph" w:styleId="Textoindependiente2">
    <w:name w:val="Body Text 2"/>
    <w:basedOn w:val="Normal"/>
    <w:rsid w:val="00CC0F60"/>
    <w:pPr>
      <w:jc w:val="both"/>
    </w:pPr>
    <w:rPr>
      <w:szCs w:val="20"/>
    </w:rPr>
  </w:style>
  <w:style w:type="character" w:styleId="Hipervnculovisitado">
    <w:name w:val="FollowedHyperlink"/>
    <w:rsid w:val="006B222C"/>
    <w:rPr>
      <w:color w:val="800080"/>
      <w:u w:val="single"/>
    </w:rPr>
  </w:style>
  <w:style w:type="paragraph" w:customStyle="1" w:styleId="CarCar1CarCarCarCarCarCarCarCarCar">
    <w:name w:val="Car Car1 Car Car Car Car Car Car Car Car Car"/>
    <w:basedOn w:val="Normal"/>
    <w:rsid w:val="00DB2852"/>
    <w:rPr>
      <w:lang w:val="pl-PL" w:eastAsia="pl-PL"/>
    </w:rPr>
  </w:style>
  <w:style w:type="paragraph" w:styleId="TDC1">
    <w:name w:val="toc 1"/>
    <w:basedOn w:val="Normal"/>
    <w:next w:val="Normal"/>
    <w:autoRedefine/>
    <w:uiPriority w:val="39"/>
    <w:qFormat/>
    <w:rsid w:val="00BD1197"/>
    <w:pPr>
      <w:tabs>
        <w:tab w:val="right" w:leader="dot" w:pos="9530"/>
      </w:tabs>
      <w:spacing w:before="120" w:after="120"/>
    </w:pPr>
    <w:rPr>
      <w:b/>
      <w:sz w:val="22"/>
      <w:szCs w:val="22"/>
    </w:rPr>
  </w:style>
  <w:style w:type="paragraph" w:styleId="Lista2">
    <w:name w:val="List 2"/>
    <w:basedOn w:val="Normal"/>
    <w:rsid w:val="00BA5B36"/>
    <w:pPr>
      <w:ind w:left="566" w:hanging="283"/>
    </w:pPr>
  </w:style>
  <w:style w:type="paragraph" w:customStyle="1" w:styleId="subtitulo3">
    <w:name w:val="subtitulo3"/>
    <w:basedOn w:val="Normal"/>
    <w:rsid w:val="00BA5B36"/>
    <w:pPr>
      <w:spacing w:before="240" w:after="120"/>
      <w:jc w:val="both"/>
    </w:pPr>
    <w:rPr>
      <w:b/>
      <w:i/>
      <w:u w:val="single"/>
    </w:rPr>
  </w:style>
  <w:style w:type="paragraph" w:styleId="Textodeglobo">
    <w:name w:val="Balloon Text"/>
    <w:basedOn w:val="Normal"/>
    <w:link w:val="TextodegloboCar"/>
    <w:rsid w:val="00356152"/>
    <w:rPr>
      <w:rFonts w:ascii="Tahoma" w:hAnsi="Tahoma" w:cs="Tahoma"/>
      <w:sz w:val="16"/>
      <w:szCs w:val="16"/>
    </w:rPr>
  </w:style>
  <w:style w:type="character" w:customStyle="1" w:styleId="TextodegloboCar">
    <w:name w:val="Texto de globo Car"/>
    <w:link w:val="Textodeglobo"/>
    <w:rsid w:val="00356152"/>
    <w:rPr>
      <w:rFonts w:ascii="Tahoma" w:hAnsi="Tahoma" w:cs="Tahoma"/>
      <w:sz w:val="16"/>
      <w:szCs w:val="16"/>
    </w:rPr>
  </w:style>
  <w:style w:type="paragraph" w:styleId="TtulodeTDC">
    <w:name w:val="TOC Heading"/>
    <w:basedOn w:val="Ttulo1"/>
    <w:next w:val="Normal"/>
    <w:uiPriority w:val="39"/>
    <w:semiHidden/>
    <w:unhideWhenUsed/>
    <w:qFormat/>
    <w:rsid w:val="000B15AA"/>
    <w:pPr>
      <w:keepLines/>
      <w:numPr>
        <w:numId w:val="0"/>
      </w:numPr>
      <w:spacing w:before="480" w:line="276" w:lineRule="auto"/>
      <w:outlineLvl w:val="9"/>
    </w:pPr>
    <w:rPr>
      <w:rFonts w:ascii="Cambria" w:hAnsi="Cambria"/>
      <w:bCs/>
      <w:color w:val="365F91"/>
      <w:sz w:val="28"/>
      <w:szCs w:val="28"/>
    </w:rPr>
  </w:style>
  <w:style w:type="paragraph" w:styleId="TDC2">
    <w:name w:val="toc 2"/>
    <w:basedOn w:val="Normal"/>
    <w:next w:val="Normal"/>
    <w:autoRedefine/>
    <w:uiPriority w:val="39"/>
    <w:unhideWhenUsed/>
    <w:qFormat/>
    <w:rsid w:val="000B15AA"/>
    <w:pPr>
      <w:spacing w:after="100" w:line="276" w:lineRule="auto"/>
      <w:ind w:left="220"/>
    </w:pPr>
    <w:rPr>
      <w:rFonts w:ascii="Calibri" w:hAnsi="Calibri"/>
      <w:sz w:val="22"/>
      <w:szCs w:val="22"/>
    </w:rPr>
  </w:style>
  <w:style w:type="paragraph" w:styleId="TDC3">
    <w:name w:val="toc 3"/>
    <w:basedOn w:val="Normal"/>
    <w:next w:val="Normal"/>
    <w:autoRedefine/>
    <w:uiPriority w:val="39"/>
    <w:unhideWhenUsed/>
    <w:qFormat/>
    <w:rsid w:val="000B15AA"/>
    <w:pPr>
      <w:spacing w:after="100" w:line="276" w:lineRule="auto"/>
      <w:ind w:left="440"/>
    </w:pPr>
    <w:rPr>
      <w:rFonts w:ascii="Calibri" w:hAnsi="Calibri"/>
      <w:sz w:val="22"/>
      <w:szCs w:val="22"/>
    </w:rPr>
  </w:style>
  <w:style w:type="paragraph" w:styleId="Ttulo">
    <w:name w:val="Title"/>
    <w:basedOn w:val="Normal"/>
    <w:next w:val="Normal"/>
    <w:link w:val="TtuloCar"/>
    <w:qFormat/>
    <w:rsid w:val="00F96626"/>
    <w:pPr>
      <w:spacing w:before="240" w:after="60"/>
      <w:outlineLvl w:val="0"/>
    </w:pPr>
    <w:rPr>
      <w:rFonts w:ascii="Arial" w:hAnsi="Arial"/>
      <w:b/>
      <w:bCs/>
      <w:kern w:val="28"/>
      <w:sz w:val="22"/>
      <w:szCs w:val="32"/>
    </w:rPr>
  </w:style>
  <w:style w:type="character" w:customStyle="1" w:styleId="TtuloCar">
    <w:name w:val="Título Car"/>
    <w:link w:val="Ttulo"/>
    <w:rsid w:val="00F96626"/>
    <w:rPr>
      <w:rFonts w:ascii="Arial" w:eastAsia="Times New Roman" w:hAnsi="Arial" w:cs="Times New Roman"/>
      <w:b/>
      <w:bCs/>
      <w:kern w:val="28"/>
      <w:sz w:val="22"/>
      <w:szCs w:val="32"/>
    </w:rPr>
  </w:style>
  <w:style w:type="paragraph" w:customStyle="1" w:styleId="CarCarCarCar">
    <w:name w:val="Car Car Car Car"/>
    <w:basedOn w:val="Normal"/>
    <w:rsid w:val="002D007F"/>
    <w:rPr>
      <w:lang w:val="pl-PL" w:eastAsia="pl-PL"/>
    </w:rPr>
  </w:style>
  <w:style w:type="paragraph" w:styleId="Prrafodelista">
    <w:name w:val="List Paragraph"/>
    <w:basedOn w:val="Normal"/>
    <w:uiPriority w:val="34"/>
    <w:qFormat/>
    <w:rsid w:val="00FF1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1901">
      <w:bodyDiv w:val="1"/>
      <w:marLeft w:val="0"/>
      <w:marRight w:val="0"/>
      <w:marTop w:val="0"/>
      <w:marBottom w:val="0"/>
      <w:divBdr>
        <w:top w:val="none" w:sz="0" w:space="0" w:color="auto"/>
        <w:left w:val="none" w:sz="0" w:space="0" w:color="auto"/>
        <w:bottom w:val="none" w:sz="0" w:space="0" w:color="auto"/>
        <w:right w:val="none" w:sz="0" w:space="0" w:color="auto"/>
      </w:divBdr>
    </w:div>
    <w:div w:id="1025864681">
      <w:bodyDiv w:val="1"/>
      <w:marLeft w:val="0"/>
      <w:marRight w:val="0"/>
      <w:marTop w:val="0"/>
      <w:marBottom w:val="0"/>
      <w:divBdr>
        <w:top w:val="none" w:sz="0" w:space="0" w:color="auto"/>
        <w:left w:val="none" w:sz="0" w:space="0" w:color="auto"/>
        <w:bottom w:val="none" w:sz="0" w:space="0" w:color="auto"/>
        <w:right w:val="none" w:sz="0" w:space="0" w:color="auto"/>
      </w:divBdr>
    </w:div>
    <w:div w:id="1087658299">
      <w:bodyDiv w:val="1"/>
      <w:marLeft w:val="0"/>
      <w:marRight w:val="0"/>
      <w:marTop w:val="0"/>
      <w:marBottom w:val="0"/>
      <w:divBdr>
        <w:top w:val="none" w:sz="0" w:space="0" w:color="auto"/>
        <w:left w:val="none" w:sz="0" w:space="0" w:color="auto"/>
        <w:bottom w:val="none" w:sz="0" w:space="0" w:color="auto"/>
        <w:right w:val="none" w:sz="0" w:space="0" w:color="auto"/>
      </w:divBdr>
    </w:div>
    <w:div w:id="140583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e.es/buscar/act.php?id=BOE-A-1995-56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oe.es/diario_boe/txt.php?id=BOE-A-2010-1465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mavet.aemps.es/cimavet/CargaFormulario.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R:\SCPG\Instrucciones%20vigentes\Medicamento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INSTRUCCIONES%20VE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876F-6B9D-4ADD-8C3E-60530813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INSTRUCCIONES VET</Template>
  <TotalTime>41</TotalTime>
  <Pages>10</Pages>
  <Words>2681</Words>
  <Characters>16625</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SERVICIO PRODUCCION Y BIENESTAR ANIMAL</vt:lpstr>
    </vt:vector>
  </TitlesOfParts>
  <Company>PA</Company>
  <LinksUpToDate>false</LinksUpToDate>
  <CharactersWithSpaces>19268</CharactersWithSpaces>
  <SharedDoc>false</SharedDoc>
  <HLinks>
    <vt:vector size="84" baseType="variant">
      <vt:variant>
        <vt:i4>1900619</vt:i4>
      </vt:variant>
      <vt:variant>
        <vt:i4>45</vt:i4>
      </vt:variant>
      <vt:variant>
        <vt:i4>0</vt:i4>
      </vt:variant>
      <vt:variant>
        <vt:i4>5</vt:i4>
      </vt:variant>
      <vt:variant>
        <vt:lpwstr>https://www.boe.es/buscar/act.php?id=BOE-A-1995-5653</vt:lpwstr>
      </vt:variant>
      <vt:variant>
        <vt:lpwstr/>
      </vt:variant>
      <vt:variant>
        <vt:i4>2424898</vt:i4>
      </vt:variant>
      <vt:variant>
        <vt:i4>42</vt:i4>
      </vt:variant>
      <vt:variant>
        <vt:i4>0</vt:i4>
      </vt:variant>
      <vt:variant>
        <vt:i4>5</vt:i4>
      </vt:variant>
      <vt:variant>
        <vt:lpwstr>https://www.boe.es/diario_boe/txt.php?id=BOE-A-2010-14657</vt:lpwstr>
      </vt:variant>
      <vt:variant>
        <vt:lpwstr/>
      </vt:variant>
      <vt:variant>
        <vt:i4>7405690</vt:i4>
      </vt:variant>
      <vt:variant>
        <vt:i4>39</vt:i4>
      </vt:variant>
      <vt:variant>
        <vt:i4>0</vt:i4>
      </vt:variant>
      <vt:variant>
        <vt:i4>5</vt:i4>
      </vt:variant>
      <vt:variant>
        <vt:lpwstr>https://cimavet.aemps.es/cimavet/CargaFormulario.do</vt:lpwstr>
      </vt:variant>
      <vt:variant>
        <vt:lpwstr/>
      </vt:variant>
      <vt:variant>
        <vt:i4>1310770</vt:i4>
      </vt:variant>
      <vt:variant>
        <vt:i4>32</vt:i4>
      </vt:variant>
      <vt:variant>
        <vt:i4>0</vt:i4>
      </vt:variant>
      <vt:variant>
        <vt:i4>5</vt:i4>
      </vt:variant>
      <vt:variant>
        <vt:lpwstr/>
      </vt:variant>
      <vt:variant>
        <vt:lpwstr>_Toc480458372</vt:lpwstr>
      </vt:variant>
      <vt:variant>
        <vt:i4>1310770</vt:i4>
      </vt:variant>
      <vt:variant>
        <vt:i4>29</vt:i4>
      </vt:variant>
      <vt:variant>
        <vt:i4>0</vt:i4>
      </vt:variant>
      <vt:variant>
        <vt:i4>5</vt:i4>
      </vt:variant>
      <vt:variant>
        <vt:lpwstr/>
      </vt:variant>
      <vt:variant>
        <vt:lpwstr>_Toc480458371</vt:lpwstr>
      </vt:variant>
      <vt:variant>
        <vt:i4>1310770</vt:i4>
      </vt:variant>
      <vt:variant>
        <vt:i4>26</vt:i4>
      </vt:variant>
      <vt:variant>
        <vt:i4>0</vt:i4>
      </vt:variant>
      <vt:variant>
        <vt:i4>5</vt:i4>
      </vt:variant>
      <vt:variant>
        <vt:lpwstr/>
      </vt:variant>
      <vt:variant>
        <vt:lpwstr>_Toc480458370</vt:lpwstr>
      </vt:variant>
      <vt:variant>
        <vt:i4>1376306</vt:i4>
      </vt:variant>
      <vt:variant>
        <vt:i4>23</vt:i4>
      </vt:variant>
      <vt:variant>
        <vt:i4>0</vt:i4>
      </vt:variant>
      <vt:variant>
        <vt:i4>5</vt:i4>
      </vt:variant>
      <vt:variant>
        <vt:lpwstr/>
      </vt:variant>
      <vt:variant>
        <vt:lpwstr>_Toc480458369</vt:lpwstr>
      </vt:variant>
      <vt:variant>
        <vt:i4>1376306</vt:i4>
      </vt:variant>
      <vt:variant>
        <vt:i4>20</vt:i4>
      </vt:variant>
      <vt:variant>
        <vt:i4>0</vt:i4>
      </vt:variant>
      <vt:variant>
        <vt:i4>5</vt:i4>
      </vt:variant>
      <vt:variant>
        <vt:lpwstr/>
      </vt:variant>
      <vt:variant>
        <vt:lpwstr>_Toc480458368</vt:lpwstr>
      </vt:variant>
      <vt:variant>
        <vt:i4>1376306</vt:i4>
      </vt:variant>
      <vt:variant>
        <vt:i4>17</vt:i4>
      </vt:variant>
      <vt:variant>
        <vt:i4>0</vt:i4>
      </vt:variant>
      <vt:variant>
        <vt:i4>5</vt:i4>
      </vt:variant>
      <vt:variant>
        <vt:lpwstr/>
      </vt:variant>
      <vt:variant>
        <vt:lpwstr>_Toc480458367</vt:lpwstr>
      </vt:variant>
      <vt:variant>
        <vt:i4>1376306</vt:i4>
      </vt:variant>
      <vt:variant>
        <vt:i4>14</vt:i4>
      </vt:variant>
      <vt:variant>
        <vt:i4>0</vt:i4>
      </vt:variant>
      <vt:variant>
        <vt:i4>5</vt:i4>
      </vt:variant>
      <vt:variant>
        <vt:lpwstr/>
      </vt:variant>
      <vt:variant>
        <vt:lpwstr>_Toc480458366</vt:lpwstr>
      </vt:variant>
      <vt:variant>
        <vt:i4>1376306</vt:i4>
      </vt:variant>
      <vt:variant>
        <vt:i4>11</vt:i4>
      </vt:variant>
      <vt:variant>
        <vt:i4>0</vt:i4>
      </vt:variant>
      <vt:variant>
        <vt:i4>5</vt:i4>
      </vt:variant>
      <vt:variant>
        <vt:lpwstr/>
      </vt:variant>
      <vt:variant>
        <vt:lpwstr>_Toc480458365</vt:lpwstr>
      </vt:variant>
      <vt:variant>
        <vt:i4>1376306</vt:i4>
      </vt:variant>
      <vt:variant>
        <vt:i4>8</vt:i4>
      </vt:variant>
      <vt:variant>
        <vt:i4>0</vt:i4>
      </vt:variant>
      <vt:variant>
        <vt:i4>5</vt:i4>
      </vt:variant>
      <vt:variant>
        <vt:lpwstr/>
      </vt:variant>
      <vt:variant>
        <vt:lpwstr>_Toc480458364</vt:lpwstr>
      </vt:variant>
      <vt:variant>
        <vt:i4>1376306</vt:i4>
      </vt:variant>
      <vt:variant>
        <vt:i4>5</vt:i4>
      </vt:variant>
      <vt:variant>
        <vt:i4>0</vt:i4>
      </vt:variant>
      <vt:variant>
        <vt:i4>5</vt:i4>
      </vt:variant>
      <vt:variant>
        <vt:lpwstr/>
      </vt:variant>
      <vt:variant>
        <vt:lpwstr>_Toc480458363</vt:lpwstr>
      </vt:variant>
      <vt:variant>
        <vt:i4>1376306</vt:i4>
      </vt:variant>
      <vt:variant>
        <vt:i4>2</vt:i4>
      </vt:variant>
      <vt:variant>
        <vt:i4>0</vt:i4>
      </vt:variant>
      <vt:variant>
        <vt:i4>5</vt:i4>
      </vt:variant>
      <vt:variant>
        <vt:lpwstr/>
      </vt:variant>
      <vt:variant>
        <vt:lpwstr>_Toc480458362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PRODUCCION Y BIENESTAR ANIMAL</dc:title>
  <dc:creator>LUISMIAM</dc:creator>
  <cp:lastModifiedBy>Jose Luis Fernandez Blanco</cp:lastModifiedBy>
  <cp:revision>7</cp:revision>
  <cp:lastPrinted>2017-04-21T08:10:00Z</cp:lastPrinted>
  <dcterms:created xsi:type="dcterms:W3CDTF">2019-04-24T08:13:00Z</dcterms:created>
  <dcterms:modified xsi:type="dcterms:W3CDTF">2019-05-07T10:55:00Z</dcterms:modified>
</cp:coreProperties>
</file>