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37" w:rsidRPr="00E80E2F" w:rsidRDefault="00B670B4" w:rsidP="00E565C4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140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ANEXO I</w:t>
      </w:r>
      <w:r w:rsidR="008A6337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="008A6337"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072652">
        <w:rPr>
          <w:rFonts w:eastAsia="Times New Roman" w:cstheme="minorHAnsi"/>
          <w:b/>
          <w:bCs/>
          <w:sz w:val="28"/>
          <w:szCs w:val="28"/>
          <w:lang w:eastAsia="es-ES"/>
        </w:rPr>
        <w:t>2</w:t>
      </w:r>
      <w:r w:rsidR="006C4A85">
        <w:rPr>
          <w:rFonts w:eastAsia="Times New Roman" w:cstheme="minorHAnsi"/>
          <w:b/>
          <w:bCs/>
          <w:sz w:val="28"/>
          <w:szCs w:val="28"/>
          <w:lang w:eastAsia="es-ES"/>
        </w:rPr>
        <w:t>.</w:t>
      </w:r>
      <w:r w:rsidR="00501C2E">
        <w:rPr>
          <w:rFonts w:eastAsia="Times New Roman" w:cstheme="minorHAnsi"/>
          <w:b/>
          <w:bCs/>
          <w:sz w:val="28"/>
          <w:szCs w:val="28"/>
          <w:lang w:eastAsia="es-ES"/>
        </w:rPr>
        <w:t>2</w:t>
      </w:r>
      <w:r w:rsidR="00FC5135">
        <w:rPr>
          <w:rFonts w:eastAsia="Times New Roman" w:cstheme="minorHAnsi"/>
          <w:b/>
          <w:bCs/>
          <w:sz w:val="28"/>
          <w:szCs w:val="28"/>
          <w:lang w:eastAsia="es-ES"/>
        </w:rPr>
        <w:t>.2</w:t>
      </w:r>
    </w:p>
    <w:p w:rsidR="008A6337" w:rsidRDefault="00E7612F" w:rsidP="00E565C4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140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402F0E" w:rsidRPr="006920EA" w:rsidRDefault="00402F0E" w:rsidP="00E565C4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140" w:firstLine="283"/>
        <w:jc w:val="center"/>
        <w:rPr>
          <w:rFonts w:eastAsia="Times New Roman" w:cstheme="minorHAnsi"/>
          <w:b/>
          <w:bCs/>
          <w:lang w:eastAsia="es-ES"/>
        </w:rPr>
      </w:pPr>
      <w:r w:rsidRPr="006920EA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9A37BC">
        <w:rPr>
          <w:rFonts w:eastAsia="Times New Roman" w:cstheme="minorHAnsi"/>
          <w:b/>
          <w:bCs/>
          <w:lang w:eastAsia="es-ES"/>
        </w:rPr>
        <w:t>R</w:t>
      </w:r>
      <w:r w:rsidRPr="006920EA">
        <w:rPr>
          <w:rFonts w:eastAsia="Times New Roman" w:cstheme="minorHAnsi"/>
          <w:b/>
          <w:bCs/>
          <w:lang w:eastAsia="es-ES"/>
        </w:rPr>
        <w:t>INCIPADO DE ASTURIAS</w:t>
      </w:r>
    </w:p>
    <w:p w:rsidR="00402F0E" w:rsidRPr="003D4E9B" w:rsidRDefault="003D4E9B" w:rsidP="003D4E9B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3D4E9B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Criterios y Procedimientos para la Sele</w:t>
      </w:r>
      <w:r w:rsidR="006B35B3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cción de Operaciones - Versión 2</w:t>
      </w:r>
      <w:bookmarkStart w:id="0" w:name="_GoBack"/>
      <w:bookmarkEnd w:id="0"/>
      <w:r w:rsidRPr="003D4E9B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.0 </w:t>
      </w:r>
    </w:p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2553"/>
        <w:gridCol w:w="7938"/>
      </w:tblGrid>
      <w:tr w:rsidR="006920EA" w:rsidTr="00E565C4">
        <w:trPr>
          <w:trHeight w:val="615"/>
        </w:trPr>
        <w:tc>
          <w:tcPr>
            <w:tcW w:w="2553" w:type="dxa"/>
          </w:tcPr>
          <w:p w:rsidR="006920EA" w:rsidRDefault="006920EA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6920EA" w:rsidRDefault="006920EA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7938" w:type="dxa"/>
          </w:tcPr>
          <w:p w:rsidR="006920EA" w:rsidRDefault="006920EA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920EA" w:rsidTr="00E565C4">
        <w:trPr>
          <w:trHeight w:val="443"/>
        </w:trPr>
        <w:tc>
          <w:tcPr>
            <w:tcW w:w="2553" w:type="dxa"/>
            <w:vAlign w:val="center"/>
          </w:tcPr>
          <w:p w:rsidR="006920EA" w:rsidRDefault="006920EA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7938" w:type="dxa"/>
          </w:tcPr>
          <w:p w:rsidR="006920EA" w:rsidRDefault="006920EA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920EA" w:rsidTr="00E565C4">
        <w:trPr>
          <w:trHeight w:val="517"/>
        </w:trPr>
        <w:tc>
          <w:tcPr>
            <w:tcW w:w="10491" w:type="dxa"/>
            <w:gridSpan w:val="2"/>
          </w:tcPr>
          <w:p w:rsidR="006920EA" w:rsidRDefault="00B670B4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402F0E" w:rsidRPr="006920EA" w:rsidRDefault="00402F0E" w:rsidP="006920EA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774" w:type="dxa"/>
        <w:tblInd w:w="-1206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60"/>
        <w:gridCol w:w="1559"/>
        <w:gridCol w:w="709"/>
        <w:gridCol w:w="992"/>
        <w:gridCol w:w="771"/>
        <w:gridCol w:w="26"/>
        <w:gridCol w:w="47"/>
        <w:gridCol w:w="7"/>
        <w:gridCol w:w="1843"/>
      </w:tblGrid>
      <w:tr w:rsidR="008A6337" w:rsidRPr="00242ECC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402F0E" w:rsidRDefault="00402F0E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  <w:p w:rsidR="008A6337" w:rsidRPr="00242ECC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514" w:type="dxa"/>
            <w:gridSpan w:val="9"/>
            <w:shd w:val="clear" w:color="auto" w:fill="DEEAF6" w:themeFill="accent1" w:themeFillTint="33"/>
            <w:vAlign w:val="center"/>
            <w:hideMark/>
          </w:tcPr>
          <w:p w:rsidR="008A6337" w:rsidRPr="00A21169" w:rsidRDefault="008A6337" w:rsidP="00D93E7E">
            <w:pPr>
              <w:spacing w:after="0" w:line="240" w:lineRule="auto"/>
              <w:ind w:right="112"/>
              <w:jc w:val="both"/>
              <w:rPr>
                <w:rFonts w:cs="Calibri"/>
                <w:color w:val="002060"/>
                <w:lang w:eastAsia="es-ES"/>
              </w:rPr>
            </w:pPr>
            <w:r w:rsidRPr="00A21169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OP </w:t>
            </w:r>
            <w:r w:rsidR="00072652" w:rsidRPr="00A21169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2</w:t>
            </w:r>
            <w:r w:rsidRPr="00A21169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6C4A85" w:rsidRPr="00A21169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072652" w:rsidRPr="008E446D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Una Europa más verde, </w:t>
            </w:r>
            <w:proofErr w:type="spellStart"/>
            <w:r w:rsidR="00072652" w:rsidRPr="008E446D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hipocarbónica</w:t>
            </w:r>
            <w:proofErr w:type="spellEnd"/>
            <w:r w:rsidR="00072652" w:rsidRPr="008E446D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y en transición hacia una economía con cero emisiones netas de carbono, y </w:t>
            </w:r>
            <w:proofErr w:type="spellStart"/>
            <w:r w:rsidR="00072652" w:rsidRPr="008E446D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resiliente</w:t>
            </w:r>
            <w:proofErr w:type="spellEnd"/>
            <w:r w:rsidR="00072652" w:rsidRPr="008E446D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, promoviendo una transición energética limpia y equitativa, la inversión verde y azul, la economía circular, la mitigación  el cambio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514" w:type="dxa"/>
            <w:gridSpan w:val="9"/>
            <w:shd w:val="clear" w:color="auto" w:fill="DEEAF6" w:themeFill="accent1" w:themeFillTint="33"/>
            <w:vAlign w:val="center"/>
            <w:hideMark/>
          </w:tcPr>
          <w:p w:rsidR="008A6337" w:rsidRPr="00A21169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21169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OE</w:t>
            </w:r>
            <w:r w:rsidR="00072652" w:rsidRPr="00A21169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2</w:t>
            </w:r>
            <w:r w:rsidR="006C4A85" w:rsidRPr="00A21169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.</w:t>
            </w:r>
            <w:r w:rsidR="00F652A4" w:rsidRPr="00A21169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2</w:t>
            </w:r>
            <w:r w:rsidRPr="00A21169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F652A4" w:rsidRPr="00A21169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F652A4" w:rsidRPr="00A21169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El fomento de las energías renovables de conformidad con la Directiva (UE) 2018/2001, en particular los criterios de sostenibilidad que se detallan en ella</w:t>
            </w:r>
          </w:p>
        </w:tc>
      </w:tr>
      <w:tr w:rsidR="008A6337" w:rsidRPr="00ED2103" w:rsidTr="005F6796">
        <w:trPr>
          <w:trHeight w:val="312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514" w:type="dxa"/>
            <w:gridSpan w:val="9"/>
            <w:shd w:val="clear" w:color="auto" w:fill="DEEAF6" w:themeFill="accent1" w:themeFillTint="33"/>
            <w:vAlign w:val="center"/>
            <w:hideMark/>
          </w:tcPr>
          <w:p w:rsidR="008A6337" w:rsidRPr="00A21169" w:rsidRDefault="00072652" w:rsidP="00D93E7E">
            <w:pPr>
              <w:spacing w:after="0" w:line="240" w:lineRule="auto"/>
              <w:ind w:right="214"/>
              <w:jc w:val="both"/>
              <w:rPr>
                <w:rFonts w:cs="Calibri"/>
                <w:color w:val="002060"/>
                <w:sz w:val="21"/>
                <w:szCs w:val="21"/>
                <w:lang w:eastAsia="es-ES"/>
              </w:rPr>
            </w:pPr>
            <w:r w:rsidRPr="00A21169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>AS2A</w:t>
            </w:r>
            <w:r w:rsidR="00F652A4" w:rsidRPr="00A21169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>202</w:t>
            </w:r>
            <w:r w:rsidRPr="00A21169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8A6337" w:rsidRPr="00A21169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E17EF6" w:rsidRPr="008E446D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Inversiones en placas fotovoltaicas en infraestructuras educativas</w:t>
            </w:r>
            <w:r w:rsidR="00E17EF6" w:rsidRPr="00A21169">
              <w:rPr>
                <w:rFonts w:cs="Calibri"/>
                <w:color w:val="002060"/>
                <w:sz w:val="21"/>
                <w:szCs w:val="21"/>
              </w:rPr>
              <w:t xml:space="preserve"> </w:t>
            </w:r>
          </w:p>
        </w:tc>
      </w:tr>
      <w:tr w:rsidR="008A6337" w:rsidRPr="00ED2103" w:rsidTr="005F6796">
        <w:trPr>
          <w:trHeight w:val="312"/>
        </w:trPr>
        <w:tc>
          <w:tcPr>
            <w:tcW w:w="4260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514" w:type="dxa"/>
            <w:gridSpan w:val="9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8A6337" w:rsidRPr="00025352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312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312"/>
        </w:trPr>
        <w:tc>
          <w:tcPr>
            <w:tcW w:w="4260" w:type="dxa"/>
            <w:shd w:val="clear" w:color="auto" w:fill="1F4E79" w:themeFill="accent1" w:themeFillShade="80"/>
            <w:vAlign w:val="center"/>
            <w:hideMark/>
          </w:tcPr>
          <w:p w:rsidR="003D4E9B" w:rsidRPr="00ED2103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514" w:type="dxa"/>
            <w:gridSpan w:val="9"/>
            <w:shd w:val="clear" w:color="auto" w:fill="1F4E79" w:themeFill="accent1" w:themeFillShade="80"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476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514" w:type="dxa"/>
            <w:gridSpan w:val="9"/>
            <w:shd w:val="clear" w:color="auto" w:fill="auto"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D4E9B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3D4E9B" w:rsidRPr="00C213B4" w:rsidRDefault="003D4E9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3D4E9B" w:rsidRPr="00ED2103" w:rsidRDefault="003D4E9B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Se trata de una operación generadora de ingresos (SI/NO)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IVA recuperable según legislación nacional (SI/NO)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 (SI/NO)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476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514" w:type="dxa"/>
            <w:gridSpan w:val="9"/>
            <w:shd w:val="clear" w:color="auto" w:fill="auto"/>
            <w:noWrap/>
            <w:vAlign w:val="center"/>
            <w:hideMark/>
          </w:tcPr>
          <w:p w:rsidR="008A6337" w:rsidRPr="00ED2103" w:rsidRDefault="008A6337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5F6796">
        <w:trPr>
          <w:trHeight w:val="297"/>
        </w:trPr>
        <w:tc>
          <w:tcPr>
            <w:tcW w:w="4260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514" w:type="dxa"/>
            <w:gridSpan w:val="9"/>
            <w:shd w:val="clear" w:color="auto" w:fill="DEEAF6" w:themeFill="accent1" w:themeFillTint="33"/>
            <w:noWrap/>
            <w:vAlign w:val="center"/>
          </w:tcPr>
          <w:p w:rsidR="008A6337" w:rsidRPr="00A21169" w:rsidRDefault="00E17EF6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A21169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48</w:t>
            </w:r>
            <w:r w:rsidR="008914C8" w:rsidRPr="00A21169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- Energía renovable: solar</w:t>
            </w:r>
          </w:p>
        </w:tc>
      </w:tr>
      <w:tr w:rsidR="006C4A85" w:rsidRPr="006C4A85" w:rsidTr="005F6796">
        <w:trPr>
          <w:trHeight w:val="394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</w:tcPr>
          <w:p w:rsidR="006C4A85" w:rsidRPr="00ED2103" w:rsidRDefault="008A6337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="006C4A85"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4057" w:type="dxa"/>
            <w:gridSpan w:val="5"/>
            <w:shd w:val="clear" w:color="auto" w:fill="1F4E79" w:themeFill="accent1" w:themeFillShade="80"/>
            <w:vAlign w:val="center"/>
          </w:tcPr>
          <w:p w:rsidR="006C4A85" w:rsidRPr="00ED2103" w:rsidRDefault="006C4A85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1897" w:type="dxa"/>
            <w:gridSpan w:val="3"/>
            <w:shd w:val="clear" w:color="auto" w:fill="1F4E79" w:themeFill="accent1" w:themeFillShade="80"/>
            <w:vAlign w:val="center"/>
          </w:tcPr>
          <w:p w:rsidR="006C4A85" w:rsidRPr="006C4A85" w:rsidRDefault="006C4A85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6920EA" w:rsidRPr="00ED2103" w:rsidTr="005F6796">
        <w:trPr>
          <w:trHeight w:val="394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  <w:hideMark/>
          </w:tcPr>
          <w:p w:rsidR="006920EA" w:rsidRPr="00C213B4" w:rsidRDefault="006920E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6920EA" w:rsidRPr="00ED2103" w:rsidRDefault="006920EA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920EA" w:rsidRPr="00ED2103" w:rsidTr="005F6796">
        <w:trPr>
          <w:trHeight w:val="394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  <w:hideMark/>
          </w:tcPr>
          <w:p w:rsidR="006920EA" w:rsidRPr="00C213B4" w:rsidRDefault="006920E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6920EA" w:rsidRPr="00ED2103" w:rsidRDefault="006920EA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920EA" w:rsidRPr="00ED2103" w:rsidTr="005F6796">
        <w:trPr>
          <w:trHeight w:val="394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:rsidR="006920EA" w:rsidRPr="00C213B4" w:rsidRDefault="006920E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6920EA" w:rsidRPr="00ED2103" w:rsidRDefault="006920EA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920EA" w:rsidRPr="00ED2103" w:rsidTr="005F6796">
        <w:trPr>
          <w:trHeight w:val="394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  <w:hideMark/>
          </w:tcPr>
          <w:p w:rsidR="006920EA" w:rsidRPr="00C213B4" w:rsidRDefault="006920E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6920EA" w:rsidRPr="00ED2103" w:rsidRDefault="006920EA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920EA" w:rsidRPr="00ED2103" w:rsidTr="005F6796">
        <w:trPr>
          <w:trHeight w:val="394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:rsidR="006920EA" w:rsidRPr="00C213B4" w:rsidRDefault="006920E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6920EA" w:rsidRPr="00ED2103" w:rsidRDefault="006920EA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920EA" w:rsidRPr="00ED2103" w:rsidTr="005F6796">
        <w:trPr>
          <w:trHeight w:val="491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  <w:hideMark/>
          </w:tcPr>
          <w:p w:rsidR="006920EA" w:rsidRPr="00C213B4" w:rsidRDefault="00F65D25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6920EA" w:rsidRPr="00ED2103" w:rsidRDefault="006920EA" w:rsidP="00D93E7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85D55" w:rsidRPr="00ED2103" w:rsidTr="005F6796">
        <w:trPr>
          <w:trHeight w:val="548"/>
        </w:trPr>
        <w:tc>
          <w:tcPr>
            <w:tcW w:w="10774" w:type="dxa"/>
            <w:gridSpan w:val="10"/>
            <w:shd w:val="clear" w:color="auto" w:fill="1F4E79" w:themeFill="accent1" w:themeFillShade="80"/>
            <w:vAlign w:val="center"/>
          </w:tcPr>
          <w:p w:rsidR="00985D55" w:rsidRPr="00BE71AB" w:rsidRDefault="00985D55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BE71AB" w:rsidRPr="00E17EF6" w:rsidTr="005F6796">
        <w:trPr>
          <w:trHeight w:val="394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:rsidR="00BE71AB" w:rsidRPr="00615223" w:rsidRDefault="00087379" w:rsidP="00087379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gestor ha realizado o se compromete a realizar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el estudio del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climate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proofing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 a adoptar las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medidas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que en él se propongan para garantizar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protección frente al cambio climático de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infraestructura?</w:t>
            </w:r>
          </w:p>
        </w:tc>
        <w:tc>
          <w:tcPr>
            <w:tcW w:w="5954" w:type="dxa"/>
            <w:gridSpan w:val="8"/>
            <w:shd w:val="clear" w:color="auto" w:fill="auto"/>
            <w:vAlign w:val="center"/>
          </w:tcPr>
          <w:p w:rsidR="00BE71AB" w:rsidRPr="00E17EF6" w:rsidRDefault="00BE71AB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615223" w:rsidRPr="00ED2103" w:rsidTr="005F6796">
        <w:trPr>
          <w:trHeight w:val="312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  <w:hideMark/>
          </w:tcPr>
          <w:p w:rsidR="00615223" w:rsidRPr="00ED2103" w:rsidRDefault="00615223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4031" w:type="dxa"/>
            <w:gridSpan w:val="4"/>
            <w:shd w:val="clear" w:color="auto" w:fill="1F4E79" w:themeFill="accent1" w:themeFillShade="80"/>
            <w:vAlign w:val="center"/>
            <w:hideMark/>
          </w:tcPr>
          <w:p w:rsidR="00615223" w:rsidRPr="00ED2103" w:rsidRDefault="00615223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1923" w:type="dxa"/>
            <w:gridSpan w:val="4"/>
            <w:shd w:val="clear" w:color="auto" w:fill="1F4E79" w:themeFill="accent1" w:themeFillShade="80"/>
            <w:vAlign w:val="center"/>
            <w:hideMark/>
          </w:tcPr>
          <w:p w:rsidR="00615223" w:rsidRPr="00ED2103" w:rsidRDefault="00615223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BE71AB" w:rsidRPr="00ED2103" w:rsidTr="005F6796">
        <w:trPr>
          <w:trHeight w:val="476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BE71AB" w:rsidRPr="009529D2" w:rsidRDefault="00BE71AB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5954" w:type="dxa"/>
            <w:gridSpan w:val="8"/>
            <w:shd w:val="clear" w:color="auto" w:fill="auto"/>
            <w:noWrap/>
            <w:vAlign w:val="center"/>
          </w:tcPr>
          <w:p w:rsidR="00BE71AB" w:rsidRPr="00ED2103" w:rsidRDefault="00BE71AB" w:rsidP="00D93E7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E71AB" w:rsidRPr="00ED2103" w:rsidTr="005F6796">
        <w:trPr>
          <w:trHeight w:val="1041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BE71AB" w:rsidRPr="009529D2" w:rsidRDefault="006920EA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5954" w:type="dxa"/>
            <w:gridSpan w:val="8"/>
            <w:shd w:val="clear" w:color="auto" w:fill="auto"/>
            <w:noWrap/>
            <w:vAlign w:val="center"/>
          </w:tcPr>
          <w:p w:rsidR="00BE71AB" w:rsidRPr="00ED2103" w:rsidRDefault="00BE71AB" w:rsidP="00D93E7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1983" w:rsidRPr="0096627F" w:rsidTr="005F6796">
        <w:trPr>
          <w:trHeight w:val="483"/>
        </w:trPr>
        <w:tc>
          <w:tcPr>
            <w:tcW w:w="10774" w:type="dxa"/>
            <w:gridSpan w:val="10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B8599B" w:rsidRPr="0096627F" w:rsidTr="005F6796">
        <w:trPr>
          <w:trHeight w:val="385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3260" w:type="dxa"/>
            <w:gridSpan w:val="3"/>
            <w:shd w:val="clear" w:color="auto" w:fill="1F4E79" w:themeFill="accent1" w:themeFillShade="80"/>
            <w:noWrap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2694" w:type="dxa"/>
            <w:gridSpan w:val="5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B8599B" w:rsidRPr="00ED2103" w:rsidTr="005F6796">
        <w:trPr>
          <w:trHeight w:val="714"/>
        </w:trPr>
        <w:tc>
          <w:tcPr>
            <w:tcW w:w="4820" w:type="dxa"/>
            <w:gridSpan w:val="2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DD1983" w:rsidRPr="00136F66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041321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RCO 22</w:t>
            </w:r>
            <w:r w:rsidRPr="00041321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 Capacidad de producción adicional de energía renovable (de la cual: electricidad, térmica)</w:t>
            </w:r>
          </w:p>
        </w:tc>
        <w:tc>
          <w:tcPr>
            <w:tcW w:w="3260" w:type="dxa"/>
            <w:gridSpan w:val="3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DD1983" w:rsidRPr="009307BA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9307BA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MW</w:t>
            </w:r>
          </w:p>
        </w:tc>
        <w:tc>
          <w:tcPr>
            <w:tcW w:w="2694" w:type="dxa"/>
            <w:gridSpan w:val="5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DD1983" w:rsidRPr="002C3F94" w:rsidRDefault="00DD1983" w:rsidP="00D93E7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B8599B" w:rsidRPr="0096627F" w:rsidTr="005F6796">
        <w:trPr>
          <w:trHeight w:val="385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559" w:type="dxa"/>
            <w:shd w:val="clear" w:color="auto" w:fill="1F4E79" w:themeFill="accent1" w:themeFillShade="80"/>
            <w:noWrap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709" w:type="dxa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992" w:type="dxa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851" w:type="dxa"/>
            <w:gridSpan w:val="4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1843" w:type="dxa"/>
            <w:shd w:val="clear" w:color="auto" w:fill="1F4E79" w:themeFill="accent1" w:themeFillShade="80"/>
            <w:vAlign w:val="center"/>
          </w:tcPr>
          <w:p w:rsidR="00DD1983" w:rsidRPr="0096627F" w:rsidRDefault="00DD1983" w:rsidP="00D93E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B8599B" w:rsidRPr="00ED2103" w:rsidTr="005F6796">
        <w:trPr>
          <w:trHeight w:val="470"/>
        </w:trPr>
        <w:tc>
          <w:tcPr>
            <w:tcW w:w="482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DD1983" w:rsidRPr="00136F66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</w:t>
            </w: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29: </w:t>
            </w:r>
            <w:r w:rsidRPr="0007265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Emisiones de gases de efecto invernadero estimadas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DD1983" w:rsidRPr="00695E1C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540A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Ton</w:t>
            </w:r>
            <w:r w:rsidR="00540A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eladas</w:t>
            </w:r>
            <w:r w:rsidR="00540ABD" w:rsidRPr="00540A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540A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de CO2 </w:t>
            </w:r>
            <w:proofErr w:type="spellStart"/>
            <w:r w:rsidRPr="00540A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eq</w:t>
            </w:r>
            <w:proofErr w:type="spellEnd"/>
            <w:r w:rsidRPr="00540A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./año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D1983" w:rsidRPr="00695E1C" w:rsidRDefault="00DD1983" w:rsidP="00D93E7E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D1983" w:rsidRPr="00695E1C" w:rsidRDefault="00DD1983" w:rsidP="00D93E7E">
            <w:pPr>
              <w:spacing w:after="0" w:line="240" w:lineRule="auto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D1983" w:rsidRPr="00695E1C" w:rsidRDefault="00DD1983" w:rsidP="00D93E7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903A81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</w:pPr>
            <w:r w:rsidRPr="009F1BFA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t xml:space="preserve">El año base se corresponde con el </w:t>
            </w:r>
            <w:r w:rsidRPr="009F1BFA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lastRenderedPageBreak/>
              <w:t xml:space="preserve">año anterior al inicio de la operación. </w:t>
            </w:r>
          </w:p>
          <w:p w:rsidR="00DD1983" w:rsidRPr="00695E1C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9F1BFA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t xml:space="preserve">El valor </w:t>
            </w:r>
            <w:r w:rsidR="00F72299" w:rsidRPr="009F1BFA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t>base</w:t>
            </w:r>
            <w:r w:rsidRPr="009F1BFA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t xml:space="preserve"> será el nivel de emisiones de GEI estimadas</w:t>
            </w:r>
            <w:r w:rsidR="00903A81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t xml:space="preserve"> </w:t>
            </w:r>
            <w:r w:rsidRPr="009F1BFA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es-ES"/>
              </w:rPr>
              <w:t>para el año anterior al inicio de la intervención</w:t>
            </w:r>
          </w:p>
        </w:tc>
      </w:tr>
      <w:tr w:rsidR="00B8599B" w:rsidRPr="00ED2103" w:rsidTr="005F6796">
        <w:trPr>
          <w:trHeight w:val="545"/>
        </w:trPr>
        <w:tc>
          <w:tcPr>
            <w:tcW w:w="482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DD1983" w:rsidRPr="00136F66" w:rsidRDefault="00DD1983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 xml:space="preserve">RCR </w:t>
            </w: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31</w:t>
            </w:r>
            <w:r w:rsidRPr="00072652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: </w:t>
            </w:r>
            <w:r w:rsidRPr="00041321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Energía renovable total producida (de la cual: electricidad, térmica) 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DD1983" w:rsidRPr="009307BA" w:rsidRDefault="00DD1983" w:rsidP="00D93E7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proofErr w:type="spellStart"/>
            <w:r w:rsidRPr="009307BA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MWh</w:t>
            </w:r>
            <w:proofErr w:type="spellEnd"/>
            <w:r w:rsidRPr="009307BA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D1983" w:rsidRPr="00695E1C" w:rsidRDefault="00DD1983" w:rsidP="00D93E7E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D1983" w:rsidRPr="00695E1C" w:rsidRDefault="00DD1983" w:rsidP="00D93E7E">
            <w:pPr>
              <w:spacing w:after="0" w:line="240" w:lineRule="auto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D1983" w:rsidRPr="00695E1C" w:rsidRDefault="00DD1983" w:rsidP="00D93E7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DD1983" w:rsidRPr="00695E1C" w:rsidRDefault="00DD1983" w:rsidP="00D93E7E">
            <w:pPr>
              <w:spacing w:after="0" w:line="240" w:lineRule="auto"/>
              <w:ind w:right="128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precisa ni año base ni valor base.</w:t>
            </w:r>
          </w:p>
        </w:tc>
      </w:tr>
      <w:tr w:rsidR="00615223" w:rsidRPr="00ED2103" w:rsidTr="005F6796">
        <w:trPr>
          <w:trHeight w:val="312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  <w:hideMark/>
          </w:tcPr>
          <w:p w:rsidR="00615223" w:rsidRPr="00FC5135" w:rsidRDefault="00615223" w:rsidP="00D93E7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4104" w:type="dxa"/>
            <w:gridSpan w:val="6"/>
            <w:shd w:val="clear" w:color="auto" w:fill="1F4E79" w:themeFill="accent1" w:themeFillShade="80"/>
            <w:vAlign w:val="center"/>
            <w:hideMark/>
          </w:tcPr>
          <w:p w:rsidR="00615223" w:rsidRPr="00FC5135" w:rsidRDefault="00615223" w:rsidP="00D93E7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1850" w:type="dxa"/>
            <w:gridSpan w:val="2"/>
            <w:shd w:val="clear" w:color="auto" w:fill="1F4E79" w:themeFill="accent1" w:themeFillShade="80"/>
            <w:vAlign w:val="center"/>
            <w:hideMark/>
          </w:tcPr>
          <w:p w:rsidR="00615223" w:rsidRPr="00FC5135" w:rsidRDefault="00615223" w:rsidP="00D93E7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B35132" w:rsidRPr="00ED2103" w:rsidTr="005F6796">
        <w:trPr>
          <w:trHeight w:val="220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</w:tcPr>
          <w:p w:rsidR="00B35132" w:rsidRPr="00B35132" w:rsidRDefault="00F41A43" w:rsidP="00F41A43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</w:t>
            </w:r>
            <w:r w:rsidR="00B35132" w:rsidRPr="00B3513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as operaciones seleccionadas en el OE 2.2, deben ser coherentes con el Plan Nacional Integrado de Energía y Clima 2021-2030 (PNIEC)</w:t>
            </w:r>
          </w:p>
        </w:tc>
        <w:tc>
          <w:tcPr>
            <w:tcW w:w="4104" w:type="dxa"/>
            <w:gridSpan w:val="6"/>
            <w:shd w:val="clear" w:color="auto" w:fill="auto"/>
            <w:noWrap/>
            <w:vAlign w:val="center"/>
          </w:tcPr>
          <w:p w:rsidR="00B35132" w:rsidRPr="002864CD" w:rsidRDefault="00B35132" w:rsidP="00D93E7E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</w:tcPr>
          <w:p w:rsidR="00B35132" w:rsidRPr="00ED2103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B35132" w:rsidRPr="00ED2103" w:rsidTr="005F6796">
        <w:trPr>
          <w:trHeight w:val="299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</w:tcPr>
          <w:p w:rsidR="00B35132" w:rsidRPr="00B35132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B3513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previstas en este objetivo específico se desarrollarán de conformidad con la Directiva (UE) 2018/2021, DEL PARLAMENTO EUROPEO Y DEL CONSEJO de 11 de diciembre de 2018 relativa al fomento del uso de energía procedente de fuentes renovables.</w:t>
            </w:r>
          </w:p>
        </w:tc>
        <w:tc>
          <w:tcPr>
            <w:tcW w:w="4104" w:type="dxa"/>
            <w:gridSpan w:val="6"/>
            <w:shd w:val="clear" w:color="auto" w:fill="auto"/>
            <w:noWrap/>
            <w:vAlign w:val="center"/>
            <w:hideMark/>
          </w:tcPr>
          <w:p w:rsidR="00B35132" w:rsidRPr="00ED2103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:rsidR="00B35132" w:rsidRPr="00ED2103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B35132" w:rsidRPr="00ED2103" w:rsidTr="005F6796">
        <w:trPr>
          <w:trHeight w:val="603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</w:tcPr>
          <w:p w:rsidR="00B35132" w:rsidRPr="00B35132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B35132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previstas en este objetivo específico estarán alineadas con la Estrategia de Acción por el Clima del Principado de Asturias 2023-2030.</w:t>
            </w:r>
          </w:p>
        </w:tc>
        <w:tc>
          <w:tcPr>
            <w:tcW w:w="4104" w:type="dxa"/>
            <w:gridSpan w:val="6"/>
            <w:shd w:val="clear" w:color="auto" w:fill="auto"/>
            <w:noWrap/>
            <w:vAlign w:val="center"/>
          </w:tcPr>
          <w:p w:rsidR="00B35132" w:rsidRPr="00ED2103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</w:tcPr>
          <w:p w:rsidR="00B35132" w:rsidRPr="00ED2103" w:rsidRDefault="00B35132" w:rsidP="00D93E7E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542D93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  <w:hideMark/>
          </w:tcPr>
          <w:p w:rsidR="00542D93" w:rsidRPr="00FC5135" w:rsidRDefault="00542D93" w:rsidP="00D93E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4104" w:type="dxa"/>
            <w:gridSpan w:val="6"/>
            <w:shd w:val="clear" w:color="auto" w:fill="1F4E79" w:themeFill="accent1" w:themeFillShade="80"/>
            <w:vAlign w:val="center"/>
            <w:hideMark/>
          </w:tcPr>
          <w:p w:rsidR="00542D93" w:rsidRPr="00FC5135" w:rsidRDefault="00542D93" w:rsidP="00D93E7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1850" w:type="dxa"/>
            <w:gridSpan w:val="2"/>
            <w:shd w:val="clear" w:color="auto" w:fill="1F4E79" w:themeFill="accent1" w:themeFillShade="80"/>
            <w:vAlign w:val="center"/>
            <w:hideMark/>
          </w:tcPr>
          <w:p w:rsidR="00542D93" w:rsidRPr="00FC5135" w:rsidRDefault="00542D93" w:rsidP="00D93E7E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A374AD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DEEAF6" w:themeFill="accent1" w:themeFillTint="33"/>
          </w:tcPr>
          <w:p w:rsidR="00A374AD" w:rsidRPr="00F62BC2" w:rsidRDefault="00A374AD" w:rsidP="00A374AD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62BC2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Utilización y protección sostenibles de los recursos hídricos y marinos – Directivas de agua.</w:t>
            </w:r>
          </w:p>
          <w:p w:rsidR="00A374AD" w:rsidRPr="00F62BC2" w:rsidRDefault="00A374AD" w:rsidP="00A374AD">
            <w:pPr>
              <w:spacing w:after="0"/>
              <w:jc w:val="both"/>
              <w:rPr>
                <w:rFonts w:cs="Calibri"/>
                <w:bCs/>
                <w:iCs/>
                <w:color w:val="002060"/>
                <w:sz w:val="20"/>
                <w:szCs w:val="20"/>
              </w:rPr>
            </w:pPr>
            <w:r w:rsidRPr="00F62BC2">
              <w:rPr>
                <w:rFonts w:cs="Calibri"/>
                <w:bCs/>
                <w:iCs/>
                <w:color w:val="002060"/>
                <w:sz w:val="20"/>
                <w:szCs w:val="20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 las Directiva 2000/60/CE (Directiva marco del agua), Directiva 2008/56/CE (Directiva marco sobre la estrategia marina) y Directiva 2006/118/CE relativa a la protección de las aguas subterráneas contra la contaminación y el deterioro.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A374AD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DEEAF6" w:themeFill="accent1" w:themeFillTint="33"/>
          </w:tcPr>
          <w:p w:rsidR="00A374AD" w:rsidRPr="00A374AD" w:rsidRDefault="00A374AD" w:rsidP="00A374AD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A374AD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Economía circular – Residuos de construcción y demolición.</w:t>
            </w:r>
          </w:p>
          <w:p w:rsidR="00A374AD" w:rsidRPr="002110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1102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</w:t>
            </w:r>
            <w:r w:rsidRPr="0021102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operaciones de relleno utilizando residuos para sustituir otros materiales.                                                                        Para el resto de las tipologías de residuos será de aplicación lo dispuesto en la Ley 7/2022, de 8 de abril, de Residuos y Suelos Contaminados, en especial a lo concerniente a los residuos peligrosos.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A374AD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:rsidR="00A374AD" w:rsidRDefault="00A374AD" w:rsidP="00A374AD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E54FB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Prevención y</w:t>
            </w: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 el control de la contaminación</w:t>
            </w:r>
            <w:r>
              <w:rPr>
                <w:b/>
                <w:bCs/>
              </w:rPr>
              <w:t xml:space="preserve"> – </w:t>
            </w:r>
            <w:r w:rsidRPr="0057707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medidas para reducir ruido, polvo y emisiones.</w:t>
            </w:r>
          </w:p>
          <w:p w:rsidR="00A374AD" w:rsidRPr="00E54FB0" w:rsidRDefault="00A374AD" w:rsidP="00A374AD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577070">
              <w:rPr>
                <w:rFonts w:cs="Calibri"/>
                <w:color w:val="002060"/>
                <w:sz w:val="20"/>
                <w:szCs w:val="20"/>
              </w:rPr>
              <w:t>Se incluirá como requisito de implementación de estas actuaciones la necesidad de adoptar medidas para reducir el ruido, el polvo y las emisiones contaminantes durante la fase de obra, ejecutándose todas las actuaciones de conformidad con lo dispuesto en la normativa vigente en materia de contaminación de suelos y agua.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A374AD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:rsidR="005F1E76" w:rsidRDefault="00A374AD" w:rsidP="005F1E7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E54FB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Prevención y el control de la contaminación</w:t>
            </w:r>
            <w:r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 – sustancias </w:t>
            </w:r>
            <w:r w:rsidRPr="00577070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tóxicas</w:t>
            </w:r>
          </w:p>
          <w:p w:rsidR="00A374AD" w:rsidRPr="005F1E76" w:rsidRDefault="00A374AD" w:rsidP="005F1E76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A25896">
              <w:rPr>
                <w:rFonts w:cs="Calibri"/>
                <w:color w:val="002060"/>
                <w:sz w:val="20"/>
                <w:szCs w:val="20"/>
              </w:rPr>
              <w:t>Los componentes y materiales de construcción utilizados en el desarrollo de las actuaciones previstas no contendrán amianto ni sustancias tóxicas identificadas a partir de la lista de sustancias sujetas a autorización que figura en el anexo XIV del Reglamento (CE) 1907/2006.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A374AD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DEEAF6" w:themeFill="accent1" w:themeFillTint="33"/>
          </w:tcPr>
          <w:p w:rsidR="00A374AD" w:rsidRPr="00513920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sz w:val="20"/>
                <w:szCs w:val="20"/>
                <w:lang w:eastAsia="es-ES"/>
              </w:rPr>
            </w:pPr>
            <w:r w:rsidRPr="00513920">
              <w:rPr>
                <w:rFonts w:eastAsia="Times New Roman" w:cstheme="minorHAnsi"/>
                <w:b/>
                <w:bCs/>
                <w:i/>
                <w:color w:val="002060"/>
                <w:sz w:val="20"/>
                <w:szCs w:val="20"/>
                <w:lang w:eastAsia="es-ES"/>
              </w:rPr>
              <w:t>Protección de la biodiversidad y los ecosistemas – EIA y Legislación en materia de naturaleza</w:t>
            </w:r>
            <w:r w:rsidRPr="00513920">
              <w:rPr>
                <w:rFonts w:eastAsia="Times New Roman" w:cstheme="minorHAnsi"/>
                <w:i/>
                <w:color w:val="002060"/>
                <w:sz w:val="20"/>
                <w:szCs w:val="20"/>
                <w:lang w:eastAsia="es-ES"/>
              </w:rPr>
              <w:t xml:space="preserve"> </w:t>
            </w:r>
          </w:p>
          <w:p w:rsidR="00A374AD" w:rsidRPr="00513920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51392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Se asegurará que las instalaciones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 </w:t>
            </w:r>
          </w:p>
          <w:p w:rsidR="00A374AD" w:rsidRPr="002110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51392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Por ello, en los casos en los que sea necesario, se asegurará el cumplimiento de lo dispuesto en la </w:t>
            </w:r>
            <w:r w:rsidRPr="00513920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ES"/>
              </w:rPr>
              <w:t>Ley 21/2013 en lo relativo a evaluación de impacto ambienta</w:t>
            </w:r>
            <w:r w:rsidRPr="0051392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l y en la Ley 9/2018, de 5 de diciembre, por la que se modifica la Ley 21/2013. Así mismo, se impulsará el cumplimiento de lo establecido en la Directiva 92/43/CEE del Consejo, de 21 de mayo de 1992, relativa a la conservación de los hábitats naturales y de la fauna y flora silvestres, traspuesta al ordenamiento jurídico español por el </w:t>
            </w:r>
            <w:r w:rsidRPr="00513920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ES"/>
              </w:rPr>
              <w:t>R.D. 1997/1995</w:t>
            </w:r>
            <w:r w:rsidRPr="0051392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, en la Directiva 2009/147/CE del Parlamento Europeo y del Consejo, de 30 de noviembre de 2009, relativa a la conservación de las aves silvestres, y en la </w:t>
            </w:r>
            <w:r w:rsidRPr="00513920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s-ES"/>
              </w:rPr>
              <w:t>Ley 42/2007</w:t>
            </w:r>
            <w:r w:rsidRPr="00513920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, del Patrimonio Natural y de la Biodiversidad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A374AD" w:rsidRPr="00332D24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A374AD" w:rsidRPr="00ED2103" w:rsidTr="005F6796">
        <w:trPr>
          <w:trHeight w:val="297"/>
        </w:trPr>
        <w:tc>
          <w:tcPr>
            <w:tcW w:w="4820" w:type="dxa"/>
            <w:gridSpan w:val="2"/>
            <w:shd w:val="clear" w:color="auto" w:fill="1F4E79" w:themeFill="accent1" w:themeFillShade="80"/>
            <w:vAlign w:val="center"/>
            <w:hideMark/>
          </w:tcPr>
          <w:p w:rsidR="00A374AD" w:rsidRPr="00FC5135" w:rsidRDefault="00A374AD" w:rsidP="00A374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4104" w:type="dxa"/>
            <w:gridSpan w:val="6"/>
            <w:shd w:val="clear" w:color="auto" w:fill="1F4E79" w:themeFill="accent1" w:themeFillShade="80"/>
            <w:vAlign w:val="center"/>
            <w:hideMark/>
          </w:tcPr>
          <w:p w:rsidR="00A374AD" w:rsidRPr="00FC5135" w:rsidRDefault="00A374AD" w:rsidP="00A374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1850" w:type="dxa"/>
            <w:gridSpan w:val="2"/>
            <w:shd w:val="clear" w:color="auto" w:fill="1F4E79" w:themeFill="accent1" w:themeFillShade="80"/>
            <w:vAlign w:val="center"/>
            <w:hideMark/>
          </w:tcPr>
          <w:p w:rsidR="00A374AD" w:rsidRPr="00FC5135" w:rsidRDefault="00A374AD" w:rsidP="00A374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C5135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780FB2" w:rsidRPr="00ED2103" w:rsidTr="005F6796">
        <w:trPr>
          <w:trHeight w:val="829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</w:tcPr>
          <w:p w:rsidR="00780FB2" w:rsidRPr="003B1375" w:rsidRDefault="00780FB2" w:rsidP="00780FB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B1375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Mejores técnicas disponibles en función de la ubicación </w:t>
            </w:r>
          </w:p>
          <w:p w:rsidR="00780FB2" w:rsidRPr="00387229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38722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Se priorizarán aquellas instalaciones que presentan una adecuada orientación desde el punto de vista de soleamiento, además de la inexistencia de importantes </w:t>
            </w:r>
            <w:r w:rsidRPr="0038722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lastRenderedPageBreak/>
              <w:t>“sombras” y una elevada disponibilidad de terreno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 dentro de las instalaciones.</w:t>
            </w:r>
            <w:r w:rsidRPr="0038722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104" w:type="dxa"/>
            <w:gridSpan w:val="6"/>
            <w:shd w:val="clear" w:color="auto" w:fill="auto"/>
            <w:noWrap/>
            <w:vAlign w:val="center"/>
          </w:tcPr>
          <w:p w:rsidR="00780FB2" w:rsidRPr="00ED2103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:rsidR="00780FB2" w:rsidRPr="00ED2103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80FB2" w:rsidRPr="00ED2103" w:rsidTr="005F6796">
        <w:trPr>
          <w:trHeight w:val="459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  <w:vAlign w:val="center"/>
          </w:tcPr>
          <w:p w:rsidR="00780FB2" w:rsidRPr="003B1375" w:rsidRDefault="00780FB2" w:rsidP="00780FB2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B1375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Mejores técnicas disponibles en función de la necesidad energética</w:t>
            </w:r>
          </w:p>
          <w:p w:rsidR="00780FB2" w:rsidRPr="00387229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38722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priorizarán aquellas instalaciones destinadas al autoconsumo, mediante el análisis de los consumos energéticos de las instalaciones.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780FB2" w:rsidRPr="00ED2103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  <w:hideMark/>
          </w:tcPr>
          <w:p w:rsidR="00780FB2" w:rsidRPr="00ED2103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780FB2" w:rsidRPr="00ED2103" w:rsidTr="005F6796">
        <w:trPr>
          <w:trHeight w:val="459"/>
        </w:trPr>
        <w:tc>
          <w:tcPr>
            <w:tcW w:w="4820" w:type="dxa"/>
            <w:gridSpan w:val="2"/>
            <w:shd w:val="clear" w:color="auto" w:fill="DEEAF6" w:themeFill="accent1" w:themeFillTint="33"/>
            <w:noWrap/>
          </w:tcPr>
          <w:p w:rsidR="00780FB2" w:rsidRPr="003B1375" w:rsidRDefault="00780FB2" w:rsidP="00780FB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B1375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Beneficios medioambientales </w:t>
            </w:r>
          </w:p>
          <w:p w:rsidR="00780FB2" w:rsidRPr="008E45DC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387229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priorizarán aquellas intervenciones que supongan mayores beneficios en términos de emisiones de gases de efecto invernadero o consumo de recursos.</w:t>
            </w:r>
          </w:p>
        </w:tc>
        <w:tc>
          <w:tcPr>
            <w:tcW w:w="4104" w:type="dxa"/>
            <w:gridSpan w:val="6"/>
            <w:shd w:val="clear" w:color="auto" w:fill="auto"/>
            <w:vAlign w:val="center"/>
          </w:tcPr>
          <w:p w:rsidR="00780FB2" w:rsidRPr="00ED2103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0" w:type="dxa"/>
            <w:gridSpan w:val="2"/>
            <w:shd w:val="clear" w:color="auto" w:fill="auto"/>
            <w:noWrap/>
            <w:vAlign w:val="center"/>
          </w:tcPr>
          <w:p w:rsidR="00780FB2" w:rsidRPr="00ED2103" w:rsidRDefault="00780FB2" w:rsidP="00780FB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C95CFD" w:rsidRDefault="00C95CFD" w:rsidP="00FC5135">
      <w:pPr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sectPr w:rsidR="008A6337" w:rsidRPr="00A97432" w:rsidSect="00E565C4">
      <w:headerReference w:type="default" r:id="rId8"/>
      <w:footerReference w:type="default" r:id="rId9"/>
      <w:pgSz w:w="11906" w:h="16838" w:code="9"/>
      <w:pgMar w:top="981" w:right="707" w:bottom="1134" w:left="184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AA" w:rsidRDefault="00784DAA" w:rsidP="00895B8C">
      <w:pPr>
        <w:spacing w:after="0" w:line="240" w:lineRule="auto"/>
      </w:pPr>
      <w:r>
        <w:separator/>
      </w:r>
    </w:p>
  </w:endnote>
  <w:endnote w:type="continuationSeparator" w:id="0">
    <w:p w:rsidR="00784DAA" w:rsidRDefault="00784DAA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496407CC" wp14:editId="1D8BF993">
          <wp:extent cx="5194300" cy="632460"/>
          <wp:effectExtent l="0" t="0" r="635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AA" w:rsidRDefault="00784DAA" w:rsidP="00895B8C">
      <w:pPr>
        <w:spacing w:after="0" w:line="240" w:lineRule="auto"/>
      </w:pPr>
      <w:r>
        <w:separator/>
      </w:r>
    </w:p>
  </w:footnote>
  <w:footnote w:type="continuationSeparator" w:id="0">
    <w:p w:rsidR="00784DAA" w:rsidRDefault="00784DAA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18"/>
      <w:gridCol w:w="4054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7A7C9AD" wp14:editId="2AF0EF95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3C5B57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7823E9AA" wp14:editId="14C803FD">
                <wp:extent cx="1153486" cy="461394"/>
                <wp:effectExtent l="0" t="0" r="2540" b="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087379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087379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84DC3AC" wp14:editId="3A587141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2DA024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FDA74C" wp14:editId="370802E6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B8E2D5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1E04"/>
    <w:rsid w:val="000134F2"/>
    <w:rsid w:val="000153A2"/>
    <w:rsid w:val="00015B0F"/>
    <w:rsid w:val="0002615B"/>
    <w:rsid w:val="00026E2C"/>
    <w:rsid w:val="00030D4A"/>
    <w:rsid w:val="00036B8E"/>
    <w:rsid w:val="00037206"/>
    <w:rsid w:val="00037373"/>
    <w:rsid w:val="00041321"/>
    <w:rsid w:val="000435BE"/>
    <w:rsid w:val="0004636E"/>
    <w:rsid w:val="0005684C"/>
    <w:rsid w:val="0005708B"/>
    <w:rsid w:val="00071DAC"/>
    <w:rsid w:val="00072652"/>
    <w:rsid w:val="00076365"/>
    <w:rsid w:val="00087379"/>
    <w:rsid w:val="000A0B00"/>
    <w:rsid w:val="000A2407"/>
    <w:rsid w:val="000B3BEB"/>
    <w:rsid w:val="000C7603"/>
    <w:rsid w:val="000E61DD"/>
    <w:rsid w:val="000F05DA"/>
    <w:rsid w:val="000F7945"/>
    <w:rsid w:val="001073BE"/>
    <w:rsid w:val="00114D34"/>
    <w:rsid w:val="001153A5"/>
    <w:rsid w:val="00117409"/>
    <w:rsid w:val="001235F3"/>
    <w:rsid w:val="00125915"/>
    <w:rsid w:val="0014549B"/>
    <w:rsid w:val="00146F14"/>
    <w:rsid w:val="001603F0"/>
    <w:rsid w:val="00177E02"/>
    <w:rsid w:val="00183B0D"/>
    <w:rsid w:val="0019097B"/>
    <w:rsid w:val="001A1E43"/>
    <w:rsid w:val="001B28A4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30902"/>
    <w:rsid w:val="00253B1D"/>
    <w:rsid w:val="0027595D"/>
    <w:rsid w:val="002834BF"/>
    <w:rsid w:val="00284EAB"/>
    <w:rsid w:val="002858FA"/>
    <w:rsid w:val="002864CD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30164C"/>
    <w:rsid w:val="00302B60"/>
    <w:rsid w:val="00321F71"/>
    <w:rsid w:val="00323E1A"/>
    <w:rsid w:val="00334BE2"/>
    <w:rsid w:val="00334E48"/>
    <w:rsid w:val="00335C49"/>
    <w:rsid w:val="00337BD0"/>
    <w:rsid w:val="003424A3"/>
    <w:rsid w:val="0035384F"/>
    <w:rsid w:val="00373CC8"/>
    <w:rsid w:val="00374080"/>
    <w:rsid w:val="00377C42"/>
    <w:rsid w:val="0038436A"/>
    <w:rsid w:val="00384B8E"/>
    <w:rsid w:val="00387229"/>
    <w:rsid w:val="003B17A9"/>
    <w:rsid w:val="003B5BC4"/>
    <w:rsid w:val="003B795B"/>
    <w:rsid w:val="003C69F6"/>
    <w:rsid w:val="003D207F"/>
    <w:rsid w:val="003D4E9B"/>
    <w:rsid w:val="003D5F2E"/>
    <w:rsid w:val="003D6466"/>
    <w:rsid w:val="003F15DB"/>
    <w:rsid w:val="00402F0E"/>
    <w:rsid w:val="004060DE"/>
    <w:rsid w:val="0041031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2891"/>
    <w:rsid w:val="00490626"/>
    <w:rsid w:val="00493452"/>
    <w:rsid w:val="004A0E6D"/>
    <w:rsid w:val="004A1B5D"/>
    <w:rsid w:val="004A5742"/>
    <w:rsid w:val="004B0F21"/>
    <w:rsid w:val="004B6A37"/>
    <w:rsid w:val="004D4D19"/>
    <w:rsid w:val="004D52E8"/>
    <w:rsid w:val="004D786A"/>
    <w:rsid w:val="004E0328"/>
    <w:rsid w:val="004E1262"/>
    <w:rsid w:val="005011EE"/>
    <w:rsid w:val="00501C2E"/>
    <w:rsid w:val="00501F39"/>
    <w:rsid w:val="00507151"/>
    <w:rsid w:val="00513920"/>
    <w:rsid w:val="00536801"/>
    <w:rsid w:val="00540ABD"/>
    <w:rsid w:val="005413D7"/>
    <w:rsid w:val="00542D93"/>
    <w:rsid w:val="00542DA2"/>
    <w:rsid w:val="00547C85"/>
    <w:rsid w:val="00550047"/>
    <w:rsid w:val="00550ADA"/>
    <w:rsid w:val="005640E1"/>
    <w:rsid w:val="00566B2A"/>
    <w:rsid w:val="005814F6"/>
    <w:rsid w:val="00585AFF"/>
    <w:rsid w:val="00586F31"/>
    <w:rsid w:val="005A2EDB"/>
    <w:rsid w:val="005B2477"/>
    <w:rsid w:val="005B71BA"/>
    <w:rsid w:val="005C60E1"/>
    <w:rsid w:val="005D1A49"/>
    <w:rsid w:val="005D7467"/>
    <w:rsid w:val="005E0490"/>
    <w:rsid w:val="005F1E76"/>
    <w:rsid w:val="005F6796"/>
    <w:rsid w:val="00615223"/>
    <w:rsid w:val="00621293"/>
    <w:rsid w:val="006240B2"/>
    <w:rsid w:val="006261BE"/>
    <w:rsid w:val="006360A1"/>
    <w:rsid w:val="00637103"/>
    <w:rsid w:val="00641885"/>
    <w:rsid w:val="00651FE0"/>
    <w:rsid w:val="006621AB"/>
    <w:rsid w:val="0066385A"/>
    <w:rsid w:val="006726EF"/>
    <w:rsid w:val="006809F5"/>
    <w:rsid w:val="00687044"/>
    <w:rsid w:val="006920EA"/>
    <w:rsid w:val="006B187D"/>
    <w:rsid w:val="006B1BD2"/>
    <w:rsid w:val="006B35B3"/>
    <w:rsid w:val="006C4A85"/>
    <w:rsid w:val="006C648D"/>
    <w:rsid w:val="006D66BD"/>
    <w:rsid w:val="006E2244"/>
    <w:rsid w:val="006F5580"/>
    <w:rsid w:val="006F6E51"/>
    <w:rsid w:val="00700B1B"/>
    <w:rsid w:val="007014C5"/>
    <w:rsid w:val="00701924"/>
    <w:rsid w:val="00701BED"/>
    <w:rsid w:val="00701E7C"/>
    <w:rsid w:val="00714260"/>
    <w:rsid w:val="00720FEF"/>
    <w:rsid w:val="007247E9"/>
    <w:rsid w:val="00735A8C"/>
    <w:rsid w:val="00752C7D"/>
    <w:rsid w:val="00764BF5"/>
    <w:rsid w:val="00766A8B"/>
    <w:rsid w:val="00773AD9"/>
    <w:rsid w:val="0077482B"/>
    <w:rsid w:val="00780FB2"/>
    <w:rsid w:val="00781788"/>
    <w:rsid w:val="00784DAA"/>
    <w:rsid w:val="007A0424"/>
    <w:rsid w:val="007A416F"/>
    <w:rsid w:val="007A558B"/>
    <w:rsid w:val="007C6118"/>
    <w:rsid w:val="007D14EC"/>
    <w:rsid w:val="007D466B"/>
    <w:rsid w:val="007E4EED"/>
    <w:rsid w:val="007E5AEF"/>
    <w:rsid w:val="007F132D"/>
    <w:rsid w:val="00800FD6"/>
    <w:rsid w:val="00801D78"/>
    <w:rsid w:val="0081703A"/>
    <w:rsid w:val="00820688"/>
    <w:rsid w:val="0083470B"/>
    <w:rsid w:val="008377B0"/>
    <w:rsid w:val="00840477"/>
    <w:rsid w:val="00857CF0"/>
    <w:rsid w:val="0087456B"/>
    <w:rsid w:val="00876D8F"/>
    <w:rsid w:val="008831D1"/>
    <w:rsid w:val="008914C8"/>
    <w:rsid w:val="00895B8C"/>
    <w:rsid w:val="008A183E"/>
    <w:rsid w:val="008A6337"/>
    <w:rsid w:val="008B6EEE"/>
    <w:rsid w:val="008B77B2"/>
    <w:rsid w:val="008D5BF2"/>
    <w:rsid w:val="008E446D"/>
    <w:rsid w:val="008E45DC"/>
    <w:rsid w:val="008F421C"/>
    <w:rsid w:val="008F663E"/>
    <w:rsid w:val="009009EC"/>
    <w:rsid w:val="00901501"/>
    <w:rsid w:val="00903A81"/>
    <w:rsid w:val="00907624"/>
    <w:rsid w:val="009407FE"/>
    <w:rsid w:val="009409C1"/>
    <w:rsid w:val="009506A8"/>
    <w:rsid w:val="009529D2"/>
    <w:rsid w:val="00952EA5"/>
    <w:rsid w:val="00954D4D"/>
    <w:rsid w:val="009716CE"/>
    <w:rsid w:val="00982C7E"/>
    <w:rsid w:val="009842E2"/>
    <w:rsid w:val="00985D55"/>
    <w:rsid w:val="00986D26"/>
    <w:rsid w:val="00987415"/>
    <w:rsid w:val="0099150E"/>
    <w:rsid w:val="00991FC3"/>
    <w:rsid w:val="009931E4"/>
    <w:rsid w:val="009A37BC"/>
    <w:rsid w:val="009A4FE2"/>
    <w:rsid w:val="009A7BFA"/>
    <w:rsid w:val="009B4A90"/>
    <w:rsid w:val="009B72A8"/>
    <w:rsid w:val="009B7C42"/>
    <w:rsid w:val="009D6B69"/>
    <w:rsid w:val="009E0BBF"/>
    <w:rsid w:val="009E4B5E"/>
    <w:rsid w:val="009F04DD"/>
    <w:rsid w:val="009F1BFA"/>
    <w:rsid w:val="00A07123"/>
    <w:rsid w:val="00A2107B"/>
    <w:rsid w:val="00A21169"/>
    <w:rsid w:val="00A227B8"/>
    <w:rsid w:val="00A313FD"/>
    <w:rsid w:val="00A32332"/>
    <w:rsid w:val="00A374AD"/>
    <w:rsid w:val="00A40209"/>
    <w:rsid w:val="00A54B92"/>
    <w:rsid w:val="00A6160A"/>
    <w:rsid w:val="00A67F25"/>
    <w:rsid w:val="00A7401F"/>
    <w:rsid w:val="00A8076D"/>
    <w:rsid w:val="00A82633"/>
    <w:rsid w:val="00A87D33"/>
    <w:rsid w:val="00A95275"/>
    <w:rsid w:val="00A960D3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2F02"/>
    <w:rsid w:val="00AE3640"/>
    <w:rsid w:val="00AE4E63"/>
    <w:rsid w:val="00AF5AF5"/>
    <w:rsid w:val="00B00F5B"/>
    <w:rsid w:val="00B03139"/>
    <w:rsid w:val="00B15D77"/>
    <w:rsid w:val="00B201F1"/>
    <w:rsid w:val="00B2512E"/>
    <w:rsid w:val="00B35132"/>
    <w:rsid w:val="00B37DE4"/>
    <w:rsid w:val="00B51332"/>
    <w:rsid w:val="00B524FC"/>
    <w:rsid w:val="00B54D3F"/>
    <w:rsid w:val="00B670B4"/>
    <w:rsid w:val="00B749F6"/>
    <w:rsid w:val="00B847F0"/>
    <w:rsid w:val="00B8599B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E1F22"/>
    <w:rsid w:val="00BE63B5"/>
    <w:rsid w:val="00BE71AB"/>
    <w:rsid w:val="00BE768B"/>
    <w:rsid w:val="00C00EA0"/>
    <w:rsid w:val="00C01192"/>
    <w:rsid w:val="00C041AA"/>
    <w:rsid w:val="00C1626F"/>
    <w:rsid w:val="00C32699"/>
    <w:rsid w:val="00C45E69"/>
    <w:rsid w:val="00C521EA"/>
    <w:rsid w:val="00C53723"/>
    <w:rsid w:val="00C539BB"/>
    <w:rsid w:val="00C55F0E"/>
    <w:rsid w:val="00C607B7"/>
    <w:rsid w:val="00C671A9"/>
    <w:rsid w:val="00C83755"/>
    <w:rsid w:val="00C95CFD"/>
    <w:rsid w:val="00CA048C"/>
    <w:rsid w:val="00CB2952"/>
    <w:rsid w:val="00CB2A67"/>
    <w:rsid w:val="00CC5AAB"/>
    <w:rsid w:val="00CD16BC"/>
    <w:rsid w:val="00CF46B0"/>
    <w:rsid w:val="00CF4CC9"/>
    <w:rsid w:val="00D064AD"/>
    <w:rsid w:val="00D10BF2"/>
    <w:rsid w:val="00D115BB"/>
    <w:rsid w:val="00D1570D"/>
    <w:rsid w:val="00D310D8"/>
    <w:rsid w:val="00D36B36"/>
    <w:rsid w:val="00D429E3"/>
    <w:rsid w:val="00D4447D"/>
    <w:rsid w:val="00D50001"/>
    <w:rsid w:val="00D5461C"/>
    <w:rsid w:val="00D55033"/>
    <w:rsid w:val="00D80DFF"/>
    <w:rsid w:val="00D8571A"/>
    <w:rsid w:val="00D93E7E"/>
    <w:rsid w:val="00D945A3"/>
    <w:rsid w:val="00DA6608"/>
    <w:rsid w:val="00DB7265"/>
    <w:rsid w:val="00DB7D7F"/>
    <w:rsid w:val="00DC3119"/>
    <w:rsid w:val="00DD1983"/>
    <w:rsid w:val="00DF240A"/>
    <w:rsid w:val="00E07C36"/>
    <w:rsid w:val="00E15E0B"/>
    <w:rsid w:val="00E17DF8"/>
    <w:rsid w:val="00E17EF6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5C4"/>
    <w:rsid w:val="00E56B53"/>
    <w:rsid w:val="00E7612F"/>
    <w:rsid w:val="00E8176F"/>
    <w:rsid w:val="00E836A5"/>
    <w:rsid w:val="00E92664"/>
    <w:rsid w:val="00EA15A3"/>
    <w:rsid w:val="00EA2197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536D"/>
    <w:rsid w:val="00F0029F"/>
    <w:rsid w:val="00F00D1C"/>
    <w:rsid w:val="00F06270"/>
    <w:rsid w:val="00F10DFB"/>
    <w:rsid w:val="00F14786"/>
    <w:rsid w:val="00F1514D"/>
    <w:rsid w:val="00F20740"/>
    <w:rsid w:val="00F27C8F"/>
    <w:rsid w:val="00F3463A"/>
    <w:rsid w:val="00F35F2D"/>
    <w:rsid w:val="00F37245"/>
    <w:rsid w:val="00F41A43"/>
    <w:rsid w:val="00F568F8"/>
    <w:rsid w:val="00F652A4"/>
    <w:rsid w:val="00F65D25"/>
    <w:rsid w:val="00F678A2"/>
    <w:rsid w:val="00F72299"/>
    <w:rsid w:val="00F74704"/>
    <w:rsid w:val="00F95193"/>
    <w:rsid w:val="00FB11A3"/>
    <w:rsid w:val="00FC5135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607E36"/>
  <w15:docId w15:val="{B3B53211-9840-40FC-A0B8-FFD4AE41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6C7F-BBE1-4C7D-90D1-D82DF89E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3</cp:revision>
  <cp:lastPrinted>2024-06-25T09:25:00Z</cp:lastPrinted>
  <dcterms:created xsi:type="dcterms:W3CDTF">2026-01-12T11:08:00Z</dcterms:created>
  <dcterms:modified xsi:type="dcterms:W3CDTF">2026-01-13T11:13:00Z</dcterms:modified>
</cp:coreProperties>
</file>