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37" w:rsidRPr="00E80E2F" w:rsidRDefault="008A6337"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sz w:val="28"/>
          <w:szCs w:val="28"/>
          <w:lang w:eastAsia="es-ES"/>
        </w:rPr>
      </w:pPr>
      <w:r w:rsidRPr="00E80E2F">
        <w:rPr>
          <w:rFonts w:eastAsia="Times New Roman" w:cstheme="minorHAnsi"/>
          <w:b/>
          <w:bCs/>
          <w:sz w:val="28"/>
          <w:szCs w:val="28"/>
          <w:lang w:eastAsia="es-ES"/>
        </w:rPr>
        <w:t xml:space="preserve">ANEXO </w:t>
      </w:r>
      <w:r w:rsidR="00564C14">
        <w:rPr>
          <w:rFonts w:eastAsia="Times New Roman" w:cstheme="minorHAnsi"/>
          <w:b/>
          <w:bCs/>
          <w:sz w:val="28"/>
          <w:szCs w:val="28"/>
          <w:lang w:eastAsia="es-ES"/>
        </w:rPr>
        <w:t>I</w:t>
      </w:r>
      <w:r>
        <w:rPr>
          <w:rFonts w:eastAsia="Times New Roman" w:cstheme="minorHAnsi"/>
          <w:b/>
          <w:bCs/>
          <w:sz w:val="28"/>
          <w:szCs w:val="28"/>
          <w:lang w:eastAsia="es-ES"/>
        </w:rPr>
        <w:t xml:space="preserve"> -</w:t>
      </w:r>
      <w:r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971BBA">
        <w:rPr>
          <w:rFonts w:eastAsia="Times New Roman" w:cstheme="minorHAnsi"/>
          <w:b/>
          <w:bCs/>
          <w:sz w:val="28"/>
          <w:szCs w:val="28"/>
          <w:lang w:eastAsia="es-ES"/>
        </w:rPr>
        <w:t>4</w:t>
      </w:r>
      <w:r w:rsidR="00ED4193">
        <w:rPr>
          <w:rFonts w:eastAsia="Times New Roman" w:cstheme="minorHAnsi"/>
          <w:b/>
          <w:bCs/>
          <w:sz w:val="28"/>
          <w:szCs w:val="28"/>
          <w:lang w:eastAsia="es-ES"/>
        </w:rPr>
        <w:t>.1</w:t>
      </w:r>
    </w:p>
    <w:p w:rsidR="008A6337" w:rsidRDefault="005007CA"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FD7BA1" w:rsidRPr="005D6647" w:rsidRDefault="00FD7BA1" w:rsidP="00A00376">
      <w:pPr>
        <w:pBdr>
          <w:top w:val="triple" w:sz="4" w:space="1" w:color="1F4E79" w:themeColor="accent1" w:themeShade="80" w:shadow="1"/>
          <w:left w:val="triple" w:sz="4" w:space="0" w:color="1F4E79" w:themeColor="accent1" w:themeShade="80" w:shadow="1"/>
          <w:bottom w:val="triple" w:sz="4" w:space="1" w:color="1F4E79" w:themeColor="accent1" w:themeShade="80" w:shadow="1"/>
          <w:right w:val="triple" w:sz="4" w:space="4" w:color="1F4E79" w:themeColor="accent1" w:themeShade="80" w:shadow="1"/>
        </w:pBdr>
        <w:spacing w:after="0"/>
        <w:ind w:left="-142" w:right="-1"/>
        <w:jc w:val="center"/>
        <w:rPr>
          <w:rFonts w:eastAsia="Times New Roman" w:cstheme="minorHAnsi"/>
          <w:b/>
          <w:bCs/>
          <w:lang w:eastAsia="es-ES"/>
        </w:rPr>
      </w:pPr>
      <w:r w:rsidRPr="005D6647">
        <w:rPr>
          <w:rFonts w:eastAsia="Times New Roman" w:cstheme="minorHAnsi"/>
          <w:b/>
          <w:bCs/>
          <w:lang w:eastAsia="es-ES"/>
        </w:rPr>
        <w:t>AL AMPARO DE LA CONVOCATORIA DE EXPRESIONES DE INTERES DIRIGIDA A ORGANISMOS O ENTIDADES PÚBLICAS DEL P</w:t>
      </w:r>
      <w:r w:rsidR="00FB267C">
        <w:rPr>
          <w:rFonts w:eastAsia="Times New Roman" w:cstheme="minorHAnsi"/>
          <w:b/>
          <w:bCs/>
          <w:lang w:eastAsia="es-ES"/>
        </w:rPr>
        <w:t>R</w:t>
      </w:r>
      <w:r w:rsidRPr="005D6647">
        <w:rPr>
          <w:rFonts w:eastAsia="Times New Roman" w:cstheme="minorHAnsi"/>
          <w:b/>
          <w:bCs/>
          <w:lang w:eastAsia="es-ES"/>
        </w:rPr>
        <w:t>INCIPADO DE ASTURIAS</w:t>
      </w:r>
    </w:p>
    <w:p w:rsidR="008A6337" w:rsidRPr="009231FF" w:rsidRDefault="009231FF" w:rsidP="009231FF">
      <w:pPr>
        <w:spacing w:before="120" w:after="360"/>
        <w:ind w:right="-1276"/>
        <w:jc w:val="center"/>
        <w:rPr>
          <w:rFonts w:ascii="Arial" w:eastAsia="Times New Roman" w:hAnsi="Arial" w:cs="Arial"/>
          <w:b/>
          <w:bCs/>
          <w:i/>
          <w:sz w:val="20"/>
          <w:szCs w:val="20"/>
          <w:lang w:eastAsia="es-ES"/>
        </w:rPr>
      </w:pPr>
      <w:r w:rsidRPr="009231FF">
        <w:rPr>
          <w:rFonts w:ascii="Arial" w:eastAsia="Times New Roman" w:hAnsi="Arial" w:cs="Arial"/>
          <w:b/>
          <w:bCs/>
          <w:i/>
          <w:sz w:val="20"/>
          <w:szCs w:val="20"/>
          <w:lang w:eastAsia="es-ES"/>
        </w:rPr>
        <w:t xml:space="preserve">Criterios y Procedimientos para la Selección de Operaciones - Versión 1.0 </w:t>
      </w:r>
    </w:p>
    <w:tbl>
      <w:tblPr>
        <w:tblStyle w:val="Tablaconcuadrcula"/>
        <w:tblW w:w="10349" w:type="dxa"/>
        <w:tblInd w:w="-318" w:type="dxa"/>
        <w:tblLook w:val="04A0" w:firstRow="1" w:lastRow="0" w:firstColumn="1" w:lastColumn="0" w:noHBand="0" w:noVBand="1"/>
      </w:tblPr>
      <w:tblGrid>
        <w:gridCol w:w="1986"/>
        <w:gridCol w:w="8363"/>
      </w:tblGrid>
      <w:tr w:rsidR="005D6647" w:rsidTr="003A0F51">
        <w:trPr>
          <w:trHeight w:val="615"/>
        </w:trPr>
        <w:tc>
          <w:tcPr>
            <w:tcW w:w="1986" w:type="dxa"/>
          </w:tcPr>
          <w:p w:rsidR="005D6647" w:rsidRDefault="005D6647" w:rsidP="009B6CC8">
            <w:pPr>
              <w:spacing w:after="0"/>
              <w:ind w:left="34" w:right="-1275"/>
              <w:rPr>
                <w:rFonts w:ascii="Arial" w:eastAsia="Times New Roman" w:hAnsi="Arial" w:cs="Arial"/>
                <w:b/>
                <w:bCs/>
                <w:sz w:val="20"/>
                <w:szCs w:val="20"/>
                <w:lang w:eastAsia="es-ES"/>
              </w:rPr>
            </w:pPr>
          </w:p>
          <w:p w:rsidR="005D6647" w:rsidRDefault="005D6647"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5D6647" w:rsidRDefault="005D6647" w:rsidP="009B6CC8">
            <w:pPr>
              <w:spacing w:after="0"/>
              <w:ind w:left="34" w:right="-1275"/>
              <w:jc w:val="center"/>
              <w:rPr>
                <w:rFonts w:ascii="Arial" w:eastAsia="Times New Roman" w:hAnsi="Arial" w:cs="Arial"/>
                <w:b/>
                <w:bCs/>
                <w:sz w:val="20"/>
                <w:szCs w:val="20"/>
                <w:lang w:eastAsia="es-ES"/>
              </w:rPr>
            </w:pPr>
          </w:p>
        </w:tc>
      </w:tr>
      <w:tr w:rsidR="005D6647" w:rsidTr="003A0F51">
        <w:trPr>
          <w:trHeight w:val="443"/>
        </w:trPr>
        <w:tc>
          <w:tcPr>
            <w:tcW w:w="1986" w:type="dxa"/>
            <w:vAlign w:val="center"/>
          </w:tcPr>
          <w:p w:rsidR="005D6647" w:rsidRDefault="005D6647"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5D6647" w:rsidRDefault="005D6647" w:rsidP="009B6CC8">
            <w:pPr>
              <w:spacing w:after="0"/>
              <w:ind w:left="34" w:right="-1275"/>
              <w:jc w:val="center"/>
              <w:rPr>
                <w:rFonts w:ascii="Arial" w:eastAsia="Times New Roman" w:hAnsi="Arial" w:cs="Arial"/>
                <w:b/>
                <w:bCs/>
                <w:sz w:val="20"/>
                <w:szCs w:val="20"/>
                <w:lang w:eastAsia="es-ES"/>
              </w:rPr>
            </w:pPr>
          </w:p>
        </w:tc>
      </w:tr>
      <w:tr w:rsidR="005D6647" w:rsidTr="003A0F51">
        <w:trPr>
          <w:trHeight w:val="517"/>
        </w:trPr>
        <w:tc>
          <w:tcPr>
            <w:tcW w:w="10349" w:type="dxa"/>
            <w:gridSpan w:val="2"/>
          </w:tcPr>
          <w:p w:rsidR="005D6647" w:rsidRDefault="00564C14"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FD7BA1" w:rsidRPr="00AE0B83" w:rsidRDefault="00FD7BA1" w:rsidP="005D6647">
      <w:pPr>
        <w:ind w:right="142"/>
        <w:jc w:val="both"/>
        <w:rPr>
          <w:rFonts w:ascii="Arial" w:eastAsia="Times New Roman" w:hAnsi="Arial" w:cs="Arial"/>
          <w:b/>
          <w:bCs/>
          <w:sz w:val="20"/>
          <w:szCs w:val="20"/>
          <w:lang w:eastAsia="es-ES"/>
        </w:rPr>
      </w:pPr>
    </w:p>
    <w:tbl>
      <w:tblPr>
        <w:tblW w:w="10632" w:type="dxa"/>
        <w:tblInd w:w="-639"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4111"/>
        <w:gridCol w:w="993"/>
        <w:gridCol w:w="850"/>
        <w:gridCol w:w="851"/>
        <w:gridCol w:w="935"/>
        <w:gridCol w:w="47"/>
        <w:gridCol w:w="10"/>
        <w:gridCol w:w="2835"/>
      </w:tblGrid>
      <w:tr w:rsidR="008A6337" w:rsidRPr="00242ECC" w:rsidTr="006F2DEE">
        <w:trPr>
          <w:trHeight w:val="297"/>
        </w:trPr>
        <w:tc>
          <w:tcPr>
            <w:tcW w:w="4111" w:type="dxa"/>
            <w:shd w:val="clear" w:color="auto" w:fill="DEEAF6" w:themeFill="accent1" w:themeFillTint="33"/>
            <w:vAlign w:val="center"/>
            <w:hideMark/>
          </w:tcPr>
          <w:p w:rsidR="008A6337" w:rsidRPr="00242ECC" w:rsidRDefault="008A6337" w:rsidP="00DD342E">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21" w:type="dxa"/>
            <w:gridSpan w:val="7"/>
            <w:shd w:val="clear" w:color="auto" w:fill="DEEAF6" w:themeFill="accent1" w:themeFillTint="33"/>
            <w:vAlign w:val="center"/>
            <w:hideMark/>
          </w:tcPr>
          <w:p w:rsidR="008A6337" w:rsidRPr="0066062B" w:rsidRDefault="008A6337" w:rsidP="00DD342E">
            <w:pPr>
              <w:spacing w:after="0" w:line="240" w:lineRule="auto"/>
              <w:ind w:right="112"/>
              <w:jc w:val="both"/>
              <w:rPr>
                <w:rFonts w:cs="Calibri"/>
                <w:color w:val="002060"/>
                <w:lang w:eastAsia="es-ES"/>
              </w:rPr>
            </w:pPr>
            <w:r w:rsidRPr="0066062B">
              <w:rPr>
                <w:rFonts w:asciiTheme="minorHAnsi" w:eastAsia="Times New Roman" w:hAnsiTheme="minorHAnsi" w:cs="Calibri"/>
                <w:b/>
                <w:bCs/>
                <w:color w:val="002060"/>
                <w:sz w:val="20"/>
                <w:szCs w:val="20"/>
                <w:lang w:eastAsia="es-ES"/>
              </w:rPr>
              <w:t xml:space="preserve">OP </w:t>
            </w:r>
            <w:r w:rsidR="00072652" w:rsidRPr="0066062B">
              <w:rPr>
                <w:rFonts w:asciiTheme="minorHAnsi" w:eastAsia="Times New Roman" w:hAnsiTheme="minorHAnsi" w:cs="Calibri"/>
                <w:b/>
                <w:bCs/>
                <w:color w:val="002060"/>
                <w:sz w:val="20"/>
                <w:szCs w:val="20"/>
                <w:lang w:eastAsia="es-ES"/>
              </w:rPr>
              <w:t>2</w:t>
            </w:r>
            <w:r w:rsidRPr="0066062B">
              <w:rPr>
                <w:rFonts w:asciiTheme="minorHAnsi" w:eastAsia="Times New Roman" w:hAnsiTheme="minorHAnsi" w:cs="Calibri"/>
                <w:b/>
                <w:bCs/>
                <w:color w:val="002060"/>
                <w:sz w:val="20"/>
                <w:szCs w:val="20"/>
                <w:lang w:eastAsia="es-ES"/>
              </w:rPr>
              <w:t xml:space="preserve"> </w:t>
            </w:r>
            <w:r w:rsidR="006C4A85" w:rsidRPr="0066062B">
              <w:rPr>
                <w:rFonts w:asciiTheme="minorHAnsi" w:eastAsia="Times New Roman" w:hAnsiTheme="minorHAnsi" w:cs="Calibri"/>
                <w:b/>
                <w:bCs/>
                <w:color w:val="002060"/>
                <w:sz w:val="20"/>
                <w:szCs w:val="20"/>
                <w:lang w:eastAsia="es-ES"/>
              </w:rPr>
              <w:t xml:space="preserve">- </w:t>
            </w:r>
            <w:r w:rsidR="00072652" w:rsidRPr="0045289F">
              <w:rPr>
                <w:rFonts w:cs="Calibri"/>
                <w:color w:val="002060"/>
                <w:sz w:val="20"/>
                <w:szCs w:val="20"/>
              </w:rPr>
              <w:t xml:space="preserve">Una Europa más verde, </w:t>
            </w:r>
            <w:proofErr w:type="spellStart"/>
            <w:r w:rsidR="00072652" w:rsidRPr="0045289F">
              <w:rPr>
                <w:rFonts w:cs="Calibri"/>
                <w:color w:val="002060"/>
                <w:sz w:val="20"/>
                <w:szCs w:val="20"/>
              </w:rPr>
              <w:t>hipocarbónica</w:t>
            </w:r>
            <w:proofErr w:type="spellEnd"/>
            <w:r w:rsidR="00072652" w:rsidRPr="0045289F">
              <w:rPr>
                <w:rFonts w:cs="Calibri"/>
                <w:color w:val="002060"/>
                <w:sz w:val="20"/>
                <w:szCs w:val="20"/>
              </w:rPr>
              <w:t xml:space="preserve"> y en transición hacia una economía con cero emisiones netas de carbono, y </w:t>
            </w:r>
            <w:proofErr w:type="spellStart"/>
            <w:r w:rsidR="00072652" w:rsidRPr="0045289F">
              <w:rPr>
                <w:rFonts w:cs="Calibri"/>
                <w:color w:val="002060"/>
                <w:sz w:val="20"/>
                <w:szCs w:val="20"/>
              </w:rPr>
              <w:t>resiliente</w:t>
            </w:r>
            <w:proofErr w:type="spellEnd"/>
            <w:r w:rsidR="00072652" w:rsidRPr="0045289F">
              <w:rPr>
                <w:rFonts w:cs="Calibri"/>
                <w:color w:val="002060"/>
                <w:sz w:val="20"/>
                <w:szCs w:val="20"/>
              </w:rPr>
              <w:t>, promoviendo una transición energética limpia y equitativa, la inversión verde y azul, la economía circular, la mitigación  el cambio</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21" w:type="dxa"/>
            <w:gridSpan w:val="7"/>
            <w:shd w:val="clear" w:color="auto" w:fill="DEEAF6" w:themeFill="accent1" w:themeFillTint="33"/>
            <w:vAlign w:val="center"/>
            <w:hideMark/>
          </w:tcPr>
          <w:p w:rsidR="008A6337" w:rsidRPr="0066062B" w:rsidRDefault="008A6337" w:rsidP="00DD342E">
            <w:pPr>
              <w:spacing w:after="0" w:line="240" w:lineRule="auto"/>
              <w:ind w:right="709"/>
              <w:jc w:val="both"/>
              <w:rPr>
                <w:rFonts w:eastAsia="Times New Roman" w:cs="Calibri"/>
                <w:bCs/>
                <w:color w:val="002060"/>
                <w:sz w:val="20"/>
                <w:szCs w:val="20"/>
                <w:lang w:eastAsia="es-ES"/>
              </w:rPr>
            </w:pPr>
            <w:r w:rsidRPr="0066062B">
              <w:rPr>
                <w:rFonts w:eastAsia="Times New Roman" w:cs="Calibri"/>
                <w:b/>
                <w:bCs/>
                <w:color w:val="002060"/>
                <w:sz w:val="20"/>
                <w:szCs w:val="20"/>
                <w:lang w:eastAsia="es-ES"/>
              </w:rPr>
              <w:t>OE</w:t>
            </w:r>
            <w:r w:rsidR="00072652" w:rsidRPr="0066062B">
              <w:rPr>
                <w:rFonts w:eastAsia="Times New Roman" w:cs="Calibri"/>
                <w:b/>
                <w:bCs/>
                <w:color w:val="002060"/>
                <w:sz w:val="20"/>
                <w:szCs w:val="20"/>
                <w:lang w:eastAsia="es-ES"/>
              </w:rPr>
              <w:t xml:space="preserve"> 2</w:t>
            </w:r>
            <w:r w:rsidR="006C4A85" w:rsidRPr="0066062B">
              <w:rPr>
                <w:rFonts w:eastAsia="Times New Roman" w:cs="Calibri"/>
                <w:b/>
                <w:bCs/>
                <w:color w:val="002060"/>
                <w:sz w:val="20"/>
                <w:szCs w:val="20"/>
                <w:lang w:eastAsia="es-ES"/>
              </w:rPr>
              <w:t>.</w:t>
            </w:r>
            <w:r w:rsidR="00610268" w:rsidRPr="0066062B">
              <w:rPr>
                <w:rFonts w:eastAsia="Times New Roman" w:cs="Calibri"/>
                <w:b/>
                <w:bCs/>
                <w:color w:val="002060"/>
                <w:sz w:val="20"/>
                <w:szCs w:val="20"/>
                <w:lang w:eastAsia="es-ES"/>
              </w:rPr>
              <w:t>4</w:t>
            </w:r>
            <w:r w:rsidRPr="0066062B">
              <w:rPr>
                <w:rFonts w:eastAsia="Times New Roman" w:cs="Calibri"/>
                <w:b/>
                <w:bCs/>
                <w:color w:val="002060"/>
                <w:sz w:val="20"/>
                <w:szCs w:val="20"/>
                <w:lang w:eastAsia="es-ES"/>
              </w:rPr>
              <w:t xml:space="preserve"> </w:t>
            </w:r>
            <w:r w:rsidR="00610268" w:rsidRPr="0066062B">
              <w:rPr>
                <w:rFonts w:eastAsia="Times New Roman" w:cs="Calibri"/>
                <w:b/>
                <w:bCs/>
                <w:color w:val="002060"/>
                <w:sz w:val="20"/>
                <w:szCs w:val="20"/>
                <w:lang w:eastAsia="es-ES"/>
              </w:rPr>
              <w:t xml:space="preserve">- </w:t>
            </w:r>
            <w:r w:rsidR="00610268" w:rsidRPr="0066062B">
              <w:rPr>
                <w:rFonts w:eastAsia="Times New Roman" w:cs="Calibri"/>
                <w:color w:val="002060"/>
                <w:sz w:val="20"/>
                <w:szCs w:val="20"/>
                <w:lang w:eastAsia="es-ES"/>
              </w:rPr>
              <w:t>Fomento de adaptación al cambio climático, la prevención del riesgo de catástrofes y la resiliencia</w:t>
            </w:r>
          </w:p>
        </w:tc>
      </w:tr>
      <w:tr w:rsidR="008A6337" w:rsidRPr="00ED2103" w:rsidTr="006F2DEE">
        <w:trPr>
          <w:trHeight w:val="312"/>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21" w:type="dxa"/>
            <w:gridSpan w:val="7"/>
            <w:shd w:val="clear" w:color="auto" w:fill="DEEAF6" w:themeFill="accent1" w:themeFillTint="33"/>
            <w:vAlign w:val="center"/>
            <w:hideMark/>
          </w:tcPr>
          <w:p w:rsidR="008A6337" w:rsidRPr="0066062B" w:rsidRDefault="00971BBA" w:rsidP="00DD342E">
            <w:pPr>
              <w:spacing w:after="0" w:line="240" w:lineRule="auto"/>
              <w:ind w:right="214"/>
              <w:jc w:val="both"/>
              <w:rPr>
                <w:rFonts w:cs="Calibri"/>
                <w:color w:val="002060"/>
                <w:sz w:val="21"/>
                <w:szCs w:val="21"/>
                <w:lang w:eastAsia="es-ES"/>
              </w:rPr>
            </w:pPr>
            <w:r w:rsidRPr="0066062B">
              <w:rPr>
                <w:rFonts w:eastAsia="Times New Roman" w:cs="Arial"/>
                <w:b/>
                <w:color w:val="002060"/>
                <w:sz w:val="20"/>
                <w:szCs w:val="20"/>
                <w:lang w:eastAsia="es-ES"/>
              </w:rPr>
              <w:t>AS2A4</w:t>
            </w:r>
            <w:r w:rsidR="00BC6EF8" w:rsidRPr="0066062B">
              <w:rPr>
                <w:rFonts w:eastAsia="Times New Roman" w:cs="Arial"/>
                <w:b/>
                <w:color w:val="002060"/>
                <w:sz w:val="20"/>
                <w:szCs w:val="20"/>
                <w:lang w:eastAsia="es-ES"/>
              </w:rPr>
              <w:t xml:space="preserve">01 </w:t>
            </w:r>
            <w:r w:rsidR="008A6337" w:rsidRPr="0066062B">
              <w:rPr>
                <w:rFonts w:eastAsia="Times New Roman" w:cs="Arial"/>
                <w:b/>
                <w:color w:val="002060"/>
                <w:sz w:val="20"/>
                <w:szCs w:val="20"/>
                <w:lang w:eastAsia="es-ES"/>
              </w:rPr>
              <w:t xml:space="preserve">- </w:t>
            </w:r>
            <w:r w:rsidRPr="0045289F">
              <w:rPr>
                <w:rFonts w:eastAsia="Times New Roman" w:cs="Calibri"/>
                <w:color w:val="002060"/>
                <w:sz w:val="20"/>
                <w:szCs w:val="20"/>
                <w:lang w:eastAsia="es-ES"/>
              </w:rPr>
              <w:t>Actuaciones en zonas inundables por acción fluvial</w:t>
            </w:r>
          </w:p>
        </w:tc>
      </w:tr>
      <w:tr w:rsidR="008A6337" w:rsidRPr="00ED2103" w:rsidTr="006F2DEE">
        <w:trPr>
          <w:trHeight w:val="312"/>
        </w:trPr>
        <w:tc>
          <w:tcPr>
            <w:tcW w:w="4111" w:type="dxa"/>
            <w:shd w:val="clear" w:color="auto" w:fill="1F4E79" w:themeFill="accent1" w:themeFillShade="80"/>
            <w:vAlign w:val="center"/>
            <w:hideMark/>
          </w:tcPr>
          <w:p w:rsidR="008A6337" w:rsidRPr="00ED2103" w:rsidRDefault="008A6337"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21" w:type="dxa"/>
            <w:gridSpan w:val="7"/>
            <w:shd w:val="clear" w:color="auto" w:fill="1F4E79" w:themeFill="accent1" w:themeFillShade="80"/>
            <w:vAlign w:val="center"/>
            <w:hideMark/>
          </w:tcPr>
          <w:p w:rsidR="008A6337" w:rsidRPr="00ED2103" w:rsidRDefault="008A6337" w:rsidP="00DD342E">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21" w:type="dxa"/>
            <w:gridSpan w:val="7"/>
            <w:shd w:val="clear" w:color="auto" w:fill="auto"/>
            <w:vAlign w:val="center"/>
            <w:hideMark/>
          </w:tcPr>
          <w:p w:rsidR="008A6337" w:rsidRPr="00025352" w:rsidRDefault="008A6337" w:rsidP="00DD342E">
            <w:pPr>
              <w:spacing w:after="0" w:line="240" w:lineRule="auto"/>
              <w:ind w:right="709"/>
              <w:jc w:val="both"/>
              <w:rPr>
                <w:rFonts w:eastAsia="Times New Roman" w:cs="Arial"/>
                <w:sz w:val="20"/>
                <w:szCs w:val="20"/>
                <w:u w:val="single"/>
                <w:lang w:eastAsia="es-ES"/>
              </w:rPr>
            </w:pPr>
            <w:r w:rsidRPr="00ED2103">
              <w:rPr>
                <w:rFonts w:eastAsia="Times New Roman" w:cs="Arial"/>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8A6337" w:rsidRPr="00ED2103" w:rsidTr="006F2DEE">
        <w:trPr>
          <w:trHeight w:val="312"/>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21" w:type="dxa"/>
            <w:gridSpan w:val="7"/>
            <w:shd w:val="clear" w:color="auto" w:fill="auto"/>
            <w:vAlign w:val="center"/>
            <w:hideMark/>
          </w:tcPr>
          <w:p w:rsidR="008A6337" w:rsidRPr="00ED2103" w:rsidRDefault="008A6337"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9231FF" w:rsidRPr="00ED2103" w:rsidTr="006F2DEE">
        <w:trPr>
          <w:trHeight w:val="312"/>
        </w:trPr>
        <w:tc>
          <w:tcPr>
            <w:tcW w:w="4111" w:type="dxa"/>
            <w:shd w:val="clear" w:color="auto" w:fill="1F4E79" w:themeFill="accent1" w:themeFillShade="80"/>
            <w:vAlign w:val="center"/>
            <w:hideMark/>
          </w:tcPr>
          <w:p w:rsidR="009231FF" w:rsidRPr="00ED2103" w:rsidRDefault="009231FF"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21" w:type="dxa"/>
            <w:gridSpan w:val="7"/>
            <w:shd w:val="clear" w:color="auto" w:fill="1F4E79" w:themeFill="accent1" w:themeFillShade="80"/>
            <w:vAlign w:val="center"/>
            <w:hideMark/>
          </w:tcPr>
          <w:p w:rsidR="009231FF" w:rsidRPr="00ED2103" w:rsidRDefault="009231FF" w:rsidP="00DD342E">
            <w:pPr>
              <w:spacing w:after="0" w:line="240" w:lineRule="auto"/>
              <w:ind w:right="709"/>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21" w:type="dxa"/>
            <w:gridSpan w:val="7"/>
            <w:shd w:val="clear" w:color="auto" w:fill="auto"/>
            <w:vAlign w:val="center"/>
          </w:tcPr>
          <w:p w:rsidR="009231FF" w:rsidRPr="00ED2103" w:rsidRDefault="009231FF" w:rsidP="00DD342E">
            <w:pPr>
              <w:spacing w:after="0" w:line="240" w:lineRule="auto"/>
              <w:ind w:right="709"/>
              <w:jc w:val="both"/>
              <w:rPr>
                <w:rFonts w:eastAsia="Times New Roman" w:cs="Calibri"/>
                <w:color w:val="000000"/>
                <w:sz w:val="20"/>
                <w:szCs w:val="20"/>
                <w:lang w:eastAsia="es-ES"/>
              </w:rPr>
            </w:pPr>
          </w:p>
        </w:tc>
      </w:tr>
      <w:tr w:rsidR="009231FF" w:rsidRPr="00ED2103" w:rsidTr="006F2DEE">
        <w:trPr>
          <w:trHeight w:val="556"/>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21" w:type="dxa"/>
            <w:gridSpan w:val="7"/>
            <w:shd w:val="clear" w:color="auto" w:fill="auto"/>
            <w:vAlign w:val="center"/>
            <w:hideMark/>
          </w:tcPr>
          <w:p w:rsidR="009231FF" w:rsidRPr="00ED2103" w:rsidRDefault="009231FF" w:rsidP="00DD342E">
            <w:pPr>
              <w:spacing w:after="0" w:line="240" w:lineRule="auto"/>
              <w:ind w:right="709"/>
              <w:jc w:val="both"/>
              <w:rPr>
                <w:rFonts w:eastAsia="Times New Roman" w:cs="Arial"/>
                <w:sz w:val="20"/>
                <w:szCs w:val="20"/>
                <w:lang w:eastAsia="es-ES"/>
              </w:rPr>
            </w:pPr>
            <w:r w:rsidRPr="00ED2103">
              <w:rPr>
                <w:rFonts w:eastAsia="Times New Roman" w:cs="Arial"/>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21" w:type="dxa"/>
            <w:gridSpan w:val="7"/>
            <w:shd w:val="clear" w:color="auto" w:fill="auto"/>
            <w:noWrap/>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9231FF" w:rsidRPr="00ED2103" w:rsidTr="006F2DEE">
        <w:trPr>
          <w:trHeight w:val="297"/>
        </w:trPr>
        <w:tc>
          <w:tcPr>
            <w:tcW w:w="4111" w:type="dxa"/>
            <w:shd w:val="clear" w:color="auto" w:fill="DEEAF6" w:themeFill="accent1" w:themeFillTint="33"/>
            <w:vAlign w:val="center"/>
            <w:hideMark/>
          </w:tcPr>
          <w:p w:rsidR="009231FF" w:rsidRPr="00C213B4" w:rsidRDefault="009231FF"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21" w:type="dxa"/>
            <w:gridSpan w:val="7"/>
            <w:shd w:val="clear" w:color="auto" w:fill="auto"/>
            <w:noWrap/>
            <w:vAlign w:val="center"/>
            <w:hideMark/>
          </w:tcPr>
          <w:p w:rsidR="009231FF" w:rsidRPr="00ED2103" w:rsidRDefault="009231FF"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5A77B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Se trata de una </w:t>
            </w:r>
            <w:r w:rsidR="005A77BD">
              <w:rPr>
                <w:rFonts w:eastAsia="Times New Roman" w:cs="Calibri"/>
                <w:color w:val="002060"/>
                <w:sz w:val="20"/>
                <w:szCs w:val="20"/>
                <w:lang w:eastAsia="es-ES"/>
              </w:rPr>
              <w:t>operación</w:t>
            </w:r>
            <w:r w:rsidRPr="00C213B4">
              <w:rPr>
                <w:rFonts w:eastAsia="Times New Roman" w:cs="Calibri"/>
                <w:color w:val="002060"/>
                <w:sz w:val="20"/>
                <w:szCs w:val="20"/>
                <w:lang w:eastAsia="es-ES"/>
              </w:rPr>
              <w:t xml:space="preserve"> generadora de ingresos (SI/NO)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IVA recuperable según legislación nacional </w:t>
            </w:r>
            <w:r w:rsidRPr="00C213B4">
              <w:rPr>
                <w:rFonts w:eastAsia="Times New Roman" w:cs="Calibri"/>
                <w:color w:val="002060"/>
                <w:sz w:val="20"/>
                <w:szCs w:val="20"/>
                <w:lang w:eastAsia="es-ES"/>
              </w:rPr>
              <w:lastRenderedPageBreak/>
              <w:t>(SI/NO)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lastRenderedPageBreak/>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 xml:space="preserve">La </w:t>
            </w:r>
            <w:r w:rsidR="005A77BD" w:rsidRPr="005A77BD">
              <w:rPr>
                <w:rFonts w:eastAsia="Times New Roman" w:cs="Calibri"/>
                <w:color w:val="002060"/>
                <w:sz w:val="20"/>
                <w:szCs w:val="20"/>
                <w:lang w:eastAsia="es-ES"/>
              </w:rPr>
              <w:t xml:space="preserve">operación </w:t>
            </w:r>
            <w:r w:rsidRPr="00C213B4">
              <w:rPr>
                <w:rFonts w:eastAsia="Times New Roman" w:cs="Calibri"/>
                <w:color w:val="002060"/>
                <w:sz w:val="20"/>
                <w:szCs w:val="20"/>
                <w:lang w:eastAsia="es-ES"/>
              </w:rPr>
              <w:t>incluye compra de terrenos (SI/NO)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476"/>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21" w:type="dxa"/>
            <w:gridSpan w:val="7"/>
            <w:shd w:val="clear" w:color="auto" w:fill="auto"/>
            <w:noWrap/>
            <w:vAlign w:val="center"/>
            <w:hideMark/>
          </w:tcPr>
          <w:p w:rsidR="008A6337" w:rsidRPr="00ED2103" w:rsidRDefault="008A6337" w:rsidP="00DD342E">
            <w:pPr>
              <w:spacing w:after="0" w:line="240" w:lineRule="auto"/>
              <w:ind w:right="709"/>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8A6337" w:rsidRPr="00ED2103" w:rsidTr="006F2DEE">
        <w:trPr>
          <w:trHeight w:val="297"/>
        </w:trPr>
        <w:tc>
          <w:tcPr>
            <w:tcW w:w="4111" w:type="dxa"/>
            <w:shd w:val="clear" w:color="auto" w:fill="DEEAF6" w:themeFill="accent1" w:themeFillTint="33"/>
            <w:vAlign w:val="center"/>
            <w:hideMark/>
          </w:tcPr>
          <w:p w:rsidR="008A6337" w:rsidRPr="00C213B4" w:rsidRDefault="008A6337" w:rsidP="00DD342E">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21" w:type="dxa"/>
            <w:gridSpan w:val="7"/>
            <w:shd w:val="clear" w:color="auto" w:fill="DEEAF6" w:themeFill="accent1" w:themeFillTint="33"/>
            <w:noWrap/>
            <w:vAlign w:val="center"/>
          </w:tcPr>
          <w:p w:rsidR="008A6337" w:rsidRPr="00ED2103" w:rsidRDefault="004F1880" w:rsidP="00DD342E">
            <w:pPr>
              <w:spacing w:after="0" w:line="240" w:lineRule="auto"/>
              <w:ind w:right="153"/>
              <w:jc w:val="both"/>
              <w:rPr>
                <w:rFonts w:eastAsia="Times New Roman" w:cs="Calibri"/>
                <w:color w:val="000000"/>
                <w:sz w:val="20"/>
                <w:szCs w:val="20"/>
                <w:lang w:eastAsia="es-ES"/>
              </w:rPr>
            </w:pPr>
            <w:r w:rsidRPr="0066062B">
              <w:rPr>
                <w:rFonts w:eastAsia="Times New Roman" w:cs="Calibri"/>
                <w:color w:val="002060"/>
                <w:sz w:val="20"/>
                <w:szCs w:val="20"/>
                <w:lang w:eastAsia="es-ES"/>
              </w:rPr>
              <w:t>58</w:t>
            </w:r>
            <w:r w:rsidR="006A3E42" w:rsidRPr="0066062B">
              <w:rPr>
                <w:rFonts w:eastAsia="Times New Roman" w:cs="Calibri"/>
                <w:color w:val="002060"/>
                <w:sz w:val="20"/>
                <w:szCs w:val="20"/>
                <w:lang w:eastAsia="es-ES"/>
              </w:rPr>
              <w:t xml:space="preserve"> - Medidas de adaptación al cambio climático y prevención y gestión de riesgos relacionados con el clima: inundaciones y corrimientos de tierras (incluidas las acciones de sensibilización, la protección civil y los sistemas de gestión de catástrofes, las infraestructuras y los enfoques </w:t>
            </w:r>
            <w:proofErr w:type="spellStart"/>
            <w:r w:rsidR="006A3E42" w:rsidRPr="0066062B">
              <w:rPr>
                <w:rFonts w:eastAsia="Times New Roman" w:cs="Calibri"/>
                <w:color w:val="002060"/>
                <w:sz w:val="20"/>
                <w:szCs w:val="20"/>
                <w:lang w:eastAsia="es-ES"/>
              </w:rPr>
              <w:t>ecosistémicos</w:t>
            </w:r>
            <w:proofErr w:type="spellEnd"/>
            <w:r w:rsidR="006A3E42" w:rsidRPr="0066062B">
              <w:rPr>
                <w:rFonts w:eastAsia="Times New Roman" w:cs="Calibri"/>
                <w:color w:val="002060"/>
                <w:sz w:val="20"/>
                <w:szCs w:val="20"/>
                <w:lang w:eastAsia="es-ES"/>
              </w:rPr>
              <w:t>)</w:t>
            </w:r>
          </w:p>
        </w:tc>
      </w:tr>
      <w:tr w:rsidR="004B048F" w:rsidRPr="006C4A85" w:rsidTr="006F2DEE">
        <w:trPr>
          <w:trHeight w:val="394"/>
        </w:trPr>
        <w:tc>
          <w:tcPr>
            <w:tcW w:w="4111" w:type="dxa"/>
            <w:shd w:val="clear" w:color="auto" w:fill="1F4E79" w:themeFill="accent1" w:themeFillShade="80"/>
            <w:vAlign w:val="center"/>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MEDIO AMBIENTE </w:t>
            </w:r>
          </w:p>
        </w:tc>
        <w:tc>
          <w:tcPr>
            <w:tcW w:w="3629" w:type="dxa"/>
            <w:gridSpan w:val="4"/>
            <w:shd w:val="clear" w:color="auto" w:fill="1F4E79" w:themeFill="accent1" w:themeFillShade="80"/>
            <w:vAlign w:val="center"/>
          </w:tcPr>
          <w:p w:rsidR="004B048F" w:rsidRPr="00ED2103" w:rsidRDefault="004B048F" w:rsidP="00DD342E">
            <w:pPr>
              <w:spacing w:after="0" w:line="240" w:lineRule="auto"/>
              <w:ind w:right="112"/>
              <w:jc w:val="center"/>
              <w:rPr>
                <w:rFonts w:eastAsia="Times New Roman" w:cs="Calibri"/>
                <w:b/>
                <w:bCs/>
                <w:color w:val="FFFFFF" w:themeColor="background1"/>
                <w:sz w:val="20"/>
                <w:szCs w:val="20"/>
                <w:lang w:eastAsia="es-ES"/>
              </w:rPr>
            </w:pPr>
          </w:p>
        </w:tc>
        <w:tc>
          <w:tcPr>
            <w:tcW w:w="2892" w:type="dxa"/>
            <w:gridSpan w:val="3"/>
            <w:shd w:val="clear" w:color="auto" w:fill="1F4E79" w:themeFill="accent1" w:themeFillShade="80"/>
            <w:vAlign w:val="center"/>
          </w:tcPr>
          <w:p w:rsidR="004B048F" w:rsidRPr="006C4A85" w:rsidRDefault="004B048F" w:rsidP="00DD342E">
            <w:pPr>
              <w:spacing w:after="0" w:line="240" w:lineRule="auto"/>
              <w:ind w:right="112"/>
              <w:jc w:val="both"/>
              <w:rPr>
                <w:rFonts w:eastAsia="Times New Roman" w:cs="Calibri"/>
                <w:b/>
                <w:bCs/>
                <w:color w:val="FFFFFF" w:themeColor="background1"/>
                <w:sz w:val="20"/>
                <w:szCs w:val="20"/>
                <w:lang w:eastAsia="es-ES"/>
              </w:rPr>
            </w:pPr>
          </w:p>
        </w:tc>
      </w:tr>
      <w:tr w:rsidR="005D6647" w:rsidRPr="004B048F" w:rsidTr="006F2DEE">
        <w:trPr>
          <w:trHeight w:val="312"/>
        </w:trPr>
        <w:tc>
          <w:tcPr>
            <w:tcW w:w="4111" w:type="dxa"/>
            <w:shd w:val="clear" w:color="auto" w:fill="DEEAF6" w:themeFill="accent1" w:themeFillTint="33"/>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521" w:type="dxa"/>
            <w:gridSpan w:val="7"/>
            <w:shd w:val="clear" w:color="auto" w:fill="auto"/>
            <w:vAlign w:val="center"/>
            <w:hideMark/>
          </w:tcPr>
          <w:p w:rsidR="005D6647" w:rsidRPr="004B048F" w:rsidRDefault="005D6647" w:rsidP="00AE0B83">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5D6647" w:rsidRPr="00ED2103" w:rsidTr="006F2DEE">
        <w:trPr>
          <w:trHeight w:val="476"/>
        </w:trPr>
        <w:tc>
          <w:tcPr>
            <w:tcW w:w="4111" w:type="dxa"/>
            <w:shd w:val="clear" w:color="auto" w:fill="DEEAF6" w:themeFill="accent1" w:themeFillTint="33"/>
            <w:noWrap/>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521" w:type="dxa"/>
            <w:gridSpan w:val="7"/>
            <w:shd w:val="clear" w:color="auto" w:fill="auto"/>
            <w:noWrap/>
            <w:vAlign w:val="center"/>
            <w:hideMark/>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604"/>
        </w:trPr>
        <w:tc>
          <w:tcPr>
            <w:tcW w:w="4111" w:type="dxa"/>
            <w:shd w:val="clear" w:color="auto" w:fill="DEEAF6" w:themeFill="accent1" w:themeFillTint="33"/>
            <w:noWrap/>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521" w:type="dxa"/>
            <w:gridSpan w:val="7"/>
            <w:shd w:val="clear" w:color="auto" w:fill="auto"/>
            <w:noWrap/>
            <w:vAlign w:val="center"/>
            <w:hideMark/>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96627F" w:rsidTr="006F2DEE">
        <w:trPr>
          <w:trHeight w:val="385"/>
        </w:trPr>
        <w:tc>
          <w:tcPr>
            <w:tcW w:w="4111" w:type="dxa"/>
            <w:shd w:val="clear" w:color="auto" w:fill="DEEAF6" w:themeFill="accent1" w:themeFillTint="33"/>
            <w:vAlign w:val="center"/>
          </w:tcPr>
          <w:p w:rsidR="005D6647" w:rsidRPr="00C213B4" w:rsidRDefault="005D6647"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521" w:type="dxa"/>
            <w:gridSpan w:val="7"/>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450"/>
        </w:trPr>
        <w:tc>
          <w:tcPr>
            <w:tcW w:w="4111" w:type="dxa"/>
            <w:tcBorders>
              <w:bottom w:val="single" w:sz="4" w:space="0" w:color="002060"/>
            </w:tcBorders>
            <w:shd w:val="clear" w:color="auto" w:fill="DEEAF6" w:themeFill="accent1" w:themeFillTint="33"/>
            <w:vAlign w:val="center"/>
            <w:hideMark/>
          </w:tcPr>
          <w:p w:rsidR="005D6647" w:rsidRPr="00C213B4" w:rsidRDefault="005D6647"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521" w:type="dxa"/>
            <w:gridSpan w:val="7"/>
            <w:tcBorders>
              <w:bottom w:val="single" w:sz="4" w:space="0" w:color="002060"/>
            </w:tcBorders>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5D6647" w:rsidRPr="00ED2103" w:rsidTr="006F2DEE">
        <w:trPr>
          <w:trHeight w:val="729"/>
        </w:trPr>
        <w:tc>
          <w:tcPr>
            <w:tcW w:w="4111"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5D6647" w:rsidRPr="00C213B4" w:rsidRDefault="00D34E22"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521" w:type="dxa"/>
            <w:gridSpan w:val="7"/>
            <w:tcBorders>
              <w:top w:val="single" w:sz="4" w:space="0" w:color="002060"/>
              <w:left w:val="single" w:sz="4" w:space="0" w:color="002060"/>
              <w:bottom w:val="single" w:sz="4" w:space="0" w:color="002060"/>
              <w:right w:val="single" w:sz="4" w:space="0" w:color="002060"/>
            </w:tcBorders>
            <w:shd w:val="clear" w:color="auto" w:fill="auto"/>
            <w:noWrap/>
            <w:vAlign w:val="center"/>
          </w:tcPr>
          <w:p w:rsidR="005D6647" w:rsidRPr="00ED2103" w:rsidRDefault="005D6647" w:rsidP="00AE0B83">
            <w:pPr>
              <w:spacing w:after="0" w:line="240" w:lineRule="auto"/>
              <w:ind w:right="709"/>
              <w:jc w:val="both"/>
              <w:rPr>
                <w:rFonts w:eastAsia="Times New Roman" w:cs="Calibri"/>
                <w:color w:val="000000"/>
                <w:sz w:val="20"/>
                <w:szCs w:val="20"/>
                <w:lang w:eastAsia="es-ES"/>
              </w:rPr>
            </w:pPr>
          </w:p>
        </w:tc>
      </w:tr>
      <w:tr w:rsidR="004F1880" w:rsidRPr="00ED2103" w:rsidTr="006F2DEE">
        <w:trPr>
          <w:trHeight w:val="477"/>
        </w:trPr>
        <w:tc>
          <w:tcPr>
            <w:tcW w:w="10632" w:type="dxa"/>
            <w:gridSpan w:val="8"/>
            <w:shd w:val="clear" w:color="auto" w:fill="1F4E79" w:themeFill="accent1" w:themeFillShade="80"/>
            <w:vAlign w:val="center"/>
            <w:hideMark/>
          </w:tcPr>
          <w:p w:rsidR="004F1880" w:rsidRPr="00112F8E" w:rsidRDefault="004F1880" w:rsidP="00DD342E">
            <w:pPr>
              <w:spacing w:after="0" w:line="240" w:lineRule="auto"/>
              <w:ind w:right="112"/>
              <w:jc w:val="both"/>
              <w:rPr>
                <w:rFonts w:eastAsia="Times New Roman" w:cs="Calibri"/>
                <w:color w:val="FF0000"/>
                <w:sz w:val="20"/>
                <w:szCs w:val="20"/>
                <w:lang w:eastAsia="es-ES"/>
              </w:rPr>
            </w:pPr>
            <w:r w:rsidRPr="00615223">
              <w:rPr>
                <w:rFonts w:eastAsia="Times New Roman" w:cs="Calibri"/>
                <w:b/>
                <w:bCs/>
                <w:color w:val="FFFFFF" w:themeColor="background1"/>
                <w:sz w:val="20"/>
                <w:szCs w:val="20"/>
                <w:lang w:eastAsia="es-ES"/>
              </w:rPr>
              <w:t xml:space="preserve">CAMBIO CLIMÁTICO  </w:t>
            </w:r>
            <w:r w:rsidRPr="00615223">
              <w:rPr>
                <w:rFonts w:eastAsia="Times New Roman" w:cs="Calibri"/>
                <w:color w:val="FFFFFF" w:themeColor="background1"/>
                <w:sz w:val="20"/>
                <w:szCs w:val="20"/>
                <w:lang w:eastAsia="es-ES"/>
              </w:rPr>
              <w:t>infraestructuras cuya vida útil sea como mínimo de cinco años</w:t>
            </w:r>
          </w:p>
        </w:tc>
      </w:tr>
      <w:tr w:rsidR="002F2D8D" w:rsidRPr="00ED2103" w:rsidTr="006F2DEE">
        <w:trPr>
          <w:trHeight w:val="312"/>
        </w:trPr>
        <w:tc>
          <w:tcPr>
            <w:tcW w:w="4111" w:type="dxa"/>
            <w:shd w:val="clear" w:color="auto" w:fill="DEEAF6" w:themeFill="accent1" w:themeFillTint="33"/>
            <w:vAlign w:val="center"/>
            <w:hideMark/>
          </w:tcPr>
          <w:p w:rsidR="002F2D8D" w:rsidRPr="00615223" w:rsidRDefault="002F2D8D" w:rsidP="00DD342E">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afecta a la emisión de gases GEI (mitigación)?</w:t>
            </w:r>
          </w:p>
        </w:tc>
        <w:tc>
          <w:tcPr>
            <w:tcW w:w="6521" w:type="dxa"/>
            <w:gridSpan w:val="7"/>
            <w:shd w:val="clear" w:color="auto" w:fill="auto"/>
            <w:vAlign w:val="center"/>
          </w:tcPr>
          <w:p w:rsidR="002F2D8D" w:rsidRPr="00E17EF6" w:rsidRDefault="002F2D8D" w:rsidP="00DD342E">
            <w:pPr>
              <w:spacing w:after="0" w:line="240" w:lineRule="auto"/>
              <w:ind w:right="112"/>
              <w:jc w:val="both"/>
              <w:rPr>
                <w:rFonts w:eastAsia="Times New Roman" w:cs="Calibri"/>
                <w:color w:val="002060"/>
                <w:sz w:val="20"/>
                <w:szCs w:val="20"/>
                <w:lang w:eastAsia="es-ES"/>
              </w:rPr>
            </w:pPr>
          </w:p>
        </w:tc>
      </w:tr>
      <w:tr w:rsidR="002F2D8D" w:rsidRPr="00ED2103" w:rsidTr="006F2DEE">
        <w:trPr>
          <w:trHeight w:val="220"/>
        </w:trPr>
        <w:tc>
          <w:tcPr>
            <w:tcW w:w="4111" w:type="dxa"/>
            <w:shd w:val="clear" w:color="auto" w:fill="DEEAF6" w:themeFill="accent1" w:themeFillTint="33"/>
            <w:noWrap/>
            <w:vAlign w:val="center"/>
          </w:tcPr>
          <w:p w:rsidR="002F2D8D" w:rsidRPr="00615223" w:rsidRDefault="002F2D8D" w:rsidP="00DD342E">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podría presentar riesgos de exposición y vulnerabilidad al cambio climático? (adaptación)</w:t>
            </w:r>
          </w:p>
        </w:tc>
        <w:tc>
          <w:tcPr>
            <w:tcW w:w="6521" w:type="dxa"/>
            <w:gridSpan w:val="7"/>
            <w:shd w:val="clear" w:color="auto" w:fill="auto"/>
            <w:noWrap/>
            <w:vAlign w:val="center"/>
          </w:tcPr>
          <w:p w:rsidR="002F2D8D" w:rsidRPr="00E17EF6" w:rsidRDefault="002F2D8D" w:rsidP="00DD342E">
            <w:pPr>
              <w:spacing w:after="0" w:line="240" w:lineRule="auto"/>
              <w:ind w:right="112"/>
              <w:jc w:val="both"/>
              <w:rPr>
                <w:rFonts w:eastAsia="Times New Roman" w:cs="Calibri"/>
                <w:color w:val="002060"/>
                <w:sz w:val="20"/>
                <w:szCs w:val="20"/>
                <w:lang w:eastAsia="es-ES"/>
              </w:rPr>
            </w:pPr>
          </w:p>
        </w:tc>
      </w:tr>
      <w:tr w:rsidR="004B048F" w:rsidRPr="00ED2103" w:rsidTr="006F2DEE">
        <w:trPr>
          <w:trHeight w:val="299"/>
        </w:trPr>
        <w:tc>
          <w:tcPr>
            <w:tcW w:w="4111" w:type="dxa"/>
            <w:shd w:val="clear" w:color="auto" w:fill="1F4E79" w:themeFill="accent1" w:themeFillShade="80"/>
            <w:noWrap/>
            <w:vAlign w:val="center"/>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3676" w:type="dxa"/>
            <w:gridSpan w:val="5"/>
            <w:shd w:val="clear" w:color="auto" w:fill="1F4E79" w:themeFill="accent1" w:themeFillShade="80"/>
            <w:noWrap/>
            <w:vAlign w:val="center"/>
            <w:hideMark/>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hideMark/>
          </w:tcPr>
          <w:p w:rsidR="004B048F" w:rsidRPr="00ED2103" w:rsidRDefault="004B048F" w:rsidP="00DD342E">
            <w:pPr>
              <w:spacing w:after="0" w:line="240" w:lineRule="auto"/>
              <w:ind w:right="112"/>
              <w:jc w:val="both"/>
              <w:rPr>
                <w:rFonts w:eastAsia="Times New Roman" w:cs="Calibri"/>
                <w:b/>
                <w:bCs/>
                <w:color w:val="FFFFFF" w:themeColor="background1"/>
                <w:sz w:val="20"/>
                <w:szCs w:val="20"/>
                <w:lang w:eastAsia="es-ES"/>
              </w:rPr>
            </w:pPr>
          </w:p>
        </w:tc>
      </w:tr>
      <w:tr w:rsidR="002F2D8D" w:rsidRPr="00ED2103" w:rsidTr="006F2DEE">
        <w:trPr>
          <w:trHeight w:val="603"/>
        </w:trPr>
        <w:tc>
          <w:tcPr>
            <w:tcW w:w="4111" w:type="dxa"/>
            <w:shd w:val="clear" w:color="auto" w:fill="DEEAF6" w:themeFill="accent1" w:themeFillTint="33"/>
            <w:noWrap/>
            <w:vAlign w:val="center"/>
          </w:tcPr>
          <w:p w:rsidR="002F2D8D" w:rsidRPr="009529D2" w:rsidRDefault="002F2D8D" w:rsidP="00DD342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521" w:type="dxa"/>
            <w:gridSpan w:val="7"/>
            <w:shd w:val="clear" w:color="auto" w:fill="auto"/>
            <w:noWrap/>
            <w:vAlign w:val="center"/>
          </w:tcPr>
          <w:p w:rsidR="002F2D8D" w:rsidRPr="00ED2103" w:rsidRDefault="002F2D8D" w:rsidP="00DD342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2F2D8D" w:rsidRPr="00ED2103" w:rsidTr="006F2DEE">
        <w:trPr>
          <w:trHeight w:val="809"/>
        </w:trPr>
        <w:tc>
          <w:tcPr>
            <w:tcW w:w="4111" w:type="dxa"/>
            <w:shd w:val="clear" w:color="auto" w:fill="DEEAF6" w:themeFill="accent1" w:themeFillTint="33"/>
            <w:noWrap/>
            <w:vAlign w:val="center"/>
          </w:tcPr>
          <w:p w:rsidR="002F2D8D" w:rsidRPr="009529D2" w:rsidRDefault="005D6647" w:rsidP="00DD342E">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521" w:type="dxa"/>
            <w:gridSpan w:val="7"/>
            <w:shd w:val="clear" w:color="auto" w:fill="auto"/>
            <w:noWrap/>
            <w:vAlign w:val="center"/>
          </w:tcPr>
          <w:p w:rsidR="002F2D8D" w:rsidRPr="00ED2103" w:rsidRDefault="002F2D8D" w:rsidP="00DD342E">
            <w:pPr>
              <w:spacing w:after="0" w:line="240" w:lineRule="auto"/>
              <w:jc w:val="both"/>
              <w:rPr>
                <w:rFonts w:eastAsia="Times New Roman" w:cs="Calibri"/>
                <w:color w:val="000000"/>
                <w:sz w:val="20"/>
                <w:szCs w:val="20"/>
                <w:lang w:eastAsia="es-ES"/>
              </w:rPr>
            </w:pPr>
            <w:r w:rsidRPr="00ED2103">
              <w:rPr>
                <w:rFonts w:eastAsia="Times New Roman" w:cs="Calibri"/>
                <w:color w:val="000000"/>
                <w:sz w:val="20"/>
                <w:szCs w:val="20"/>
                <w:lang w:eastAsia="es-ES"/>
              </w:rPr>
              <w:t> </w:t>
            </w:r>
          </w:p>
        </w:tc>
      </w:tr>
      <w:tr w:rsidR="00020442" w:rsidRPr="0096627F" w:rsidTr="006F2DEE">
        <w:trPr>
          <w:trHeight w:val="407"/>
        </w:trPr>
        <w:tc>
          <w:tcPr>
            <w:tcW w:w="10632" w:type="dxa"/>
            <w:gridSpan w:val="8"/>
            <w:shd w:val="clear" w:color="auto" w:fill="1F4E79" w:themeFill="accent1" w:themeFillShade="80"/>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lastRenderedPageBreak/>
              <w:t>PREVISIÓN INDICADORES</w:t>
            </w:r>
          </w:p>
        </w:tc>
      </w:tr>
      <w:tr w:rsidR="00020442" w:rsidRPr="0096627F" w:rsidTr="006F2DEE">
        <w:trPr>
          <w:trHeight w:val="385"/>
        </w:trPr>
        <w:tc>
          <w:tcPr>
            <w:tcW w:w="4111" w:type="dxa"/>
            <w:shd w:val="clear" w:color="auto" w:fill="1F4E79" w:themeFill="accent1" w:themeFillShade="80"/>
            <w:vAlign w:val="center"/>
          </w:tcPr>
          <w:p w:rsidR="00020442" w:rsidRPr="0096627F" w:rsidRDefault="00020442" w:rsidP="00DD342E">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686" w:type="dxa"/>
            <w:gridSpan w:val="6"/>
            <w:shd w:val="clear" w:color="auto" w:fill="1F4E79" w:themeFill="accent1" w:themeFillShade="80"/>
            <w:noWrap/>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2835" w:type="dxa"/>
            <w:shd w:val="clear" w:color="auto" w:fill="1F4E79" w:themeFill="accent1" w:themeFillShade="80"/>
            <w:vAlign w:val="center"/>
          </w:tcPr>
          <w:p w:rsidR="00020442" w:rsidRPr="0096627F" w:rsidRDefault="00020442" w:rsidP="00DD342E">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020442" w:rsidRPr="00ED2103" w:rsidTr="006F2DEE">
        <w:trPr>
          <w:trHeight w:val="714"/>
        </w:trPr>
        <w:tc>
          <w:tcPr>
            <w:tcW w:w="4111" w:type="dxa"/>
            <w:tcBorders>
              <w:bottom w:val="single" w:sz="4" w:space="0" w:color="002060"/>
            </w:tcBorders>
            <w:shd w:val="clear" w:color="auto" w:fill="DEEAF6" w:themeFill="accent1" w:themeFillTint="33"/>
            <w:vAlign w:val="center"/>
            <w:hideMark/>
          </w:tcPr>
          <w:p w:rsidR="00ED4193" w:rsidRPr="00136F66" w:rsidRDefault="00020442" w:rsidP="00DD342E">
            <w:pPr>
              <w:spacing w:after="0" w:line="240" w:lineRule="auto"/>
              <w:jc w:val="both"/>
              <w:rPr>
                <w:rFonts w:eastAsia="Times New Roman" w:cstheme="minorHAnsi"/>
                <w:color w:val="002060"/>
                <w:sz w:val="20"/>
                <w:szCs w:val="20"/>
                <w:lang w:eastAsia="es-ES"/>
              </w:rPr>
            </w:pPr>
            <w:r>
              <w:rPr>
                <w:rFonts w:eastAsia="Times New Roman" w:cs="Calibri"/>
                <w:b/>
                <w:color w:val="002060"/>
                <w:sz w:val="20"/>
                <w:szCs w:val="20"/>
                <w:lang w:eastAsia="es-ES"/>
              </w:rPr>
              <w:t>RCO</w:t>
            </w:r>
            <w:r w:rsidRPr="004F1880">
              <w:rPr>
                <w:rFonts w:eastAsia="Times New Roman" w:cs="Calibri"/>
                <w:b/>
                <w:color w:val="002060"/>
                <w:sz w:val="20"/>
                <w:szCs w:val="20"/>
                <w:lang w:eastAsia="es-ES"/>
              </w:rPr>
              <w:t>25:</w:t>
            </w:r>
            <w:r w:rsidRPr="004F1880">
              <w:rPr>
                <w:rFonts w:asciiTheme="minorHAnsi" w:eastAsia="Times New Roman" w:hAnsiTheme="minorHAnsi" w:cs="Calibri"/>
                <w:sz w:val="20"/>
                <w:szCs w:val="20"/>
                <w:lang w:eastAsia="es-ES"/>
              </w:rPr>
              <w:t xml:space="preserve"> </w:t>
            </w:r>
            <w:r w:rsidRPr="004F1880">
              <w:rPr>
                <w:rFonts w:eastAsia="Times New Roman" w:cs="Calibri"/>
                <w:color w:val="002060"/>
                <w:sz w:val="20"/>
                <w:szCs w:val="20"/>
                <w:lang w:eastAsia="es-ES"/>
              </w:rPr>
              <w:t>Protección frente a las inundaciones en franjas litorales, márgenes de ríos y lagos que se hayan construido o consolidado recientemente</w:t>
            </w:r>
          </w:p>
        </w:tc>
        <w:tc>
          <w:tcPr>
            <w:tcW w:w="3686" w:type="dxa"/>
            <w:gridSpan w:val="6"/>
            <w:tcBorders>
              <w:bottom w:val="single" w:sz="4" w:space="0" w:color="002060"/>
            </w:tcBorders>
            <w:shd w:val="clear" w:color="auto" w:fill="DEEAF6" w:themeFill="accent1" w:themeFillTint="33"/>
            <w:noWrap/>
            <w:vAlign w:val="center"/>
          </w:tcPr>
          <w:p w:rsidR="00020442" w:rsidRPr="007C4261" w:rsidRDefault="00020442" w:rsidP="00DD342E">
            <w:pPr>
              <w:spacing w:after="0" w:line="240" w:lineRule="auto"/>
              <w:jc w:val="both"/>
              <w:rPr>
                <w:rFonts w:eastAsia="Times New Roman" w:cstheme="minorHAnsi"/>
                <w:color w:val="002060"/>
                <w:sz w:val="20"/>
                <w:szCs w:val="20"/>
                <w:lang w:eastAsia="es-ES"/>
              </w:rPr>
            </w:pPr>
            <w:r>
              <w:rPr>
                <w:rFonts w:eastAsia="Times New Roman" w:cstheme="minorHAnsi"/>
                <w:color w:val="002060"/>
                <w:sz w:val="20"/>
                <w:szCs w:val="20"/>
                <w:lang w:eastAsia="es-ES"/>
              </w:rPr>
              <w:t>km</w:t>
            </w:r>
          </w:p>
        </w:tc>
        <w:tc>
          <w:tcPr>
            <w:tcW w:w="2835" w:type="dxa"/>
            <w:tcBorders>
              <w:bottom w:val="single" w:sz="4" w:space="0" w:color="002060"/>
            </w:tcBorders>
            <w:shd w:val="clear" w:color="auto" w:fill="auto"/>
            <w:vAlign w:val="center"/>
          </w:tcPr>
          <w:p w:rsidR="00020442" w:rsidRPr="002C3F94" w:rsidRDefault="00020442" w:rsidP="00DD342E">
            <w:pPr>
              <w:spacing w:after="0" w:line="240" w:lineRule="auto"/>
              <w:ind w:right="709"/>
              <w:jc w:val="right"/>
              <w:rPr>
                <w:rFonts w:eastAsia="Times New Roman" w:cstheme="minorHAnsi"/>
                <w:b/>
                <w:color w:val="002060"/>
                <w:sz w:val="20"/>
                <w:szCs w:val="20"/>
                <w:lang w:eastAsia="es-ES"/>
              </w:rPr>
            </w:pPr>
          </w:p>
        </w:tc>
      </w:tr>
      <w:tr w:rsidR="004D3962" w:rsidRPr="0096627F" w:rsidTr="006F2DEE">
        <w:trPr>
          <w:trHeight w:val="385"/>
        </w:trPr>
        <w:tc>
          <w:tcPr>
            <w:tcW w:w="4111" w:type="dxa"/>
            <w:shd w:val="clear" w:color="auto" w:fill="1F4E79" w:themeFill="accent1" w:themeFillShade="80"/>
            <w:vAlign w:val="center"/>
          </w:tcPr>
          <w:p w:rsidR="00514858" w:rsidRPr="0096627F" w:rsidRDefault="00514858" w:rsidP="00773CB1">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993" w:type="dxa"/>
            <w:shd w:val="clear" w:color="auto" w:fill="1F4E79" w:themeFill="accent1" w:themeFillShade="80"/>
            <w:noWrap/>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850"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851"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992" w:type="dxa"/>
            <w:gridSpan w:val="3"/>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835" w:type="dxa"/>
            <w:shd w:val="clear" w:color="auto" w:fill="1F4E79" w:themeFill="accent1" w:themeFillShade="80"/>
            <w:vAlign w:val="center"/>
          </w:tcPr>
          <w:p w:rsidR="00514858" w:rsidRPr="0096627F" w:rsidRDefault="00514858" w:rsidP="00773CB1">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4D3962" w:rsidRPr="00ED2103" w:rsidTr="006F2DEE">
        <w:trPr>
          <w:trHeight w:val="545"/>
        </w:trPr>
        <w:tc>
          <w:tcPr>
            <w:tcW w:w="4111"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514858" w:rsidRPr="00136F66" w:rsidRDefault="00514858" w:rsidP="00773CB1">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35:</w:t>
            </w:r>
            <w:r w:rsidRPr="00835BCE">
              <w:rPr>
                <w:color w:val="0070C0"/>
                <w:sz w:val="18"/>
                <w:szCs w:val="18"/>
              </w:rPr>
              <w:t xml:space="preserve"> </w:t>
            </w:r>
            <w:r w:rsidRPr="00514858">
              <w:rPr>
                <w:rFonts w:eastAsia="Times New Roman" w:cstheme="minorHAnsi"/>
                <w:color w:val="002060"/>
                <w:sz w:val="20"/>
                <w:szCs w:val="20"/>
                <w:lang w:eastAsia="es-ES"/>
              </w:rPr>
              <w:t>Población que se beneficia de las medidas de protección frente a las inundaciones</w:t>
            </w:r>
          </w:p>
        </w:tc>
        <w:tc>
          <w:tcPr>
            <w:tcW w:w="993"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514858" w:rsidRPr="009307BA" w:rsidRDefault="00514858" w:rsidP="00773CB1">
            <w:pPr>
              <w:spacing w:after="0" w:line="240" w:lineRule="auto"/>
              <w:rPr>
                <w:rFonts w:eastAsia="Times New Roman" w:cstheme="minorHAnsi"/>
                <w:color w:val="002060"/>
                <w:sz w:val="20"/>
                <w:szCs w:val="20"/>
                <w:lang w:eastAsia="es-ES"/>
              </w:rPr>
            </w:pPr>
            <w:r>
              <w:rPr>
                <w:rFonts w:eastAsia="Times New Roman" w:cstheme="minorHAnsi"/>
                <w:color w:val="002060"/>
                <w:sz w:val="20"/>
                <w:szCs w:val="20"/>
                <w:lang w:eastAsia="es-ES"/>
              </w:rPr>
              <w:t>Personas</w:t>
            </w:r>
          </w:p>
        </w:tc>
        <w:tc>
          <w:tcPr>
            <w:tcW w:w="850" w:type="dxa"/>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jc w:val="center"/>
              <w:rPr>
                <w:rFonts w:eastAsia="Times New Roman" w:cstheme="minorHAnsi"/>
                <w:color w:val="002060"/>
                <w:sz w:val="20"/>
                <w:szCs w:val="20"/>
                <w:lang w:eastAsia="es-ES"/>
              </w:rPr>
            </w:pPr>
          </w:p>
        </w:tc>
        <w:tc>
          <w:tcPr>
            <w:tcW w:w="851" w:type="dxa"/>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jc w:val="right"/>
              <w:rPr>
                <w:rFonts w:eastAsia="Times New Roman" w:cstheme="minorHAnsi"/>
                <w:color w:val="002060"/>
                <w:sz w:val="20"/>
                <w:szCs w:val="20"/>
                <w:lang w:eastAsia="es-ES"/>
              </w:rPr>
            </w:pPr>
          </w:p>
        </w:tc>
        <w:tc>
          <w:tcPr>
            <w:tcW w:w="992"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514858" w:rsidRPr="00695E1C" w:rsidRDefault="00514858" w:rsidP="00773CB1">
            <w:pPr>
              <w:spacing w:after="0" w:line="240" w:lineRule="auto"/>
              <w:ind w:right="709"/>
              <w:jc w:val="right"/>
              <w:rPr>
                <w:rFonts w:eastAsia="Times New Roman" w:cstheme="minorHAnsi"/>
                <w:color w:val="002060"/>
                <w:sz w:val="20"/>
                <w:szCs w:val="20"/>
                <w:lang w:eastAsia="es-ES"/>
              </w:rPr>
            </w:pPr>
          </w:p>
        </w:tc>
        <w:tc>
          <w:tcPr>
            <w:tcW w:w="283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514858" w:rsidRPr="00695E1C" w:rsidRDefault="004D3962" w:rsidP="00773CB1">
            <w:pPr>
              <w:spacing w:after="0" w:line="240" w:lineRule="auto"/>
              <w:ind w:right="128"/>
              <w:jc w:val="both"/>
              <w:rPr>
                <w:rFonts w:eastAsia="Times New Roman" w:cstheme="minorHAnsi"/>
                <w:color w:val="002060"/>
                <w:sz w:val="20"/>
                <w:szCs w:val="20"/>
                <w:lang w:eastAsia="es-ES"/>
              </w:rPr>
            </w:pPr>
            <w:r w:rsidRPr="00565E03">
              <w:rPr>
                <w:rFonts w:eastAsia="Times New Roman" w:cstheme="minorHAnsi"/>
                <w:color w:val="002060"/>
                <w:sz w:val="20"/>
                <w:szCs w:val="20"/>
                <w:lang w:eastAsia="es-ES"/>
              </w:rPr>
              <w:t>No precisa ni año base ni valor base.</w:t>
            </w:r>
          </w:p>
        </w:tc>
      </w:tr>
      <w:tr w:rsidR="004B048F" w:rsidRPr="00ED2103" w:rsidTr="006F2DEE">
        <w:trPr>
          <w:trHeight w:val="459"/>
        </w:trPr>
        <w:tc>
          <w:tcPr>
            <w:tcW w:w="4111" w:type="dxa"/>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CRITERIOS DE ELEGIBILIDAD</w:t>
            </w:r>
          </w:p>
        </w:tc>
        <w:tc>
          <w:tcPr>
            <w:tcW w:w="3676" w:type="dxa"/>
            <w:gridSpan w:val="5"/>
            <w:shd w:val="clear" w:color="auto" w:fill="1F4E79" w:themeFill="accent1" w:themeFillShade="80"/>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EVIDENCIAS</w:t>
            </w:r>
          </w:p>
        </w:tc>
      </w:tr>
      <w:tr w:rsidR="0078328E" w:rsidRPr="00ED2103" w:rsidTr="006F2DEE">
        <w:trPr>
          <w:trHeight w:val="45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Las actuaciones del Objetivo Específico 2.4 están sujetas al cumplimiento de la Condición Favorecedora 2.4 “Marco eficaz de gestión del riesgo de catástrofes “de acuerdo con lo establecido en el Reglamento (UE) 2021/1060 del Parlamento Europeo y del Consejo. En base a ello, las operaciones seleccionadas en el OE 2.4, deben ser coherentes las estrategias y planes que dan cumplimiento a esta Condición favorecedora.</w:t>
            </w:r>
          </w:p>
        </w:tc>
        <w:tc>
          <w:tcPr>
            <w:tcW w:w="3676" w:type="dxa"/>
            <w:gridSpan w:val="5"/>
            <w:shd w:val="clear" w:color="auto" w:fill="auto"/>
            <w:vAlign w:val="center"/>
          </w:tcPr>
          <w:p w:rsidR="0078328E" w:rsidRPr="002864CD" w:rsidRDefault="0078328E" w:rsidP="00DD342E">
            <w:pPr>
              <w:spacing w:line="240" w:lineRule="auto"/>
              <w:rPr>
                <w:rFonts w:eastAsia="Times New Roman" w:cstheme="minorHAnsi"/>
                <w:sz w:val="20"/>
                <w:szCs w:val="20"/>
                <w:lang w:eastAsia="es-ES"/>
              </w:rPr>
            </w:pPr>
            <w:bookmarkStart w:id="0" w:name="_GoBack"/>
            <w:bookmarkEnd w:id="0"/>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Dentro de este objetivo específico se podrán financiar actuaciones de adaptación frente al cambio climático, priorizando las actuaciones que tengan un enfoque preventivo, preferentemente a través de soluciones basadas en la naturaleza. Se evitará infraestructura gris en la medida que las condiciones climáticas, demográficas o ambientales lo permitan.</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Se reforzarán las actuaciones de preparación y respuesta necesarias para abordar de una manera integral la gest</w:t>
            </w:r>
            <w:r>
              <w:rPr>
                <w:rFonts w:cs="Calibri"/>
                <w:color w:val="002060"/>
                <w:sz w:val="20"/>
                <w:szCs w:val="20"/>
              </w:rPr>
              <w:t xml:space="preserve">ión de los riesgos prioritarios </w:t>
            </w:r>
            <w:r w:rsidRPr="006D0A22">
              <w:rPr>
                <w:rFonts w:cs="Calibri"/>
                <w:color w:val="002060"/>
                <w:sz w:val="20"/>
                <w:szCs w:val="20"/>
              </w:rPr>
              <w:t>identificados,</w:t>
            </w:r>
            <w:r>
              <w:rPr>
                <w:rFonts w:cs="Calibri"/>
                <w:color w:val="002060"/>
                <w:sz w:val="20"/>
                <w:szCs w:val="20"/>
              </w:rPr>
              <w:t xml:space="preserve"> </w:t>
            </w:r>
            <w:r w:rsidRPr="006D0A22">
              <w:rPr>
                <w:rFonts w:cs="Calibri"/>
                <w:color w:val="002060"/>
                <w:sz w:val="20"/>
                <w:szCs w:val="20"/>
              </w:rPr>
              <w:t>fundamentalmente avenidas e inundaciones, sequías e incendios.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329"/>
        </w:trPr>
        <w:tc>
          <w:tcPr>
            <w:tcW w:w="4111" w:type="dxa"/>
            <w:shd w:val="clear" w:color="auto" w:fill="DEEAF6" w:themeFill="accent1" w:themeFillTint="33"/>
            <w:noWrap/>
            <w:vAlign w:val="center"/>
          </w:tcPr>
          <w:p w:rsidR="0078328E"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Las actuaciones que se realizarán en puertos estarán integradas en el Plan de adaptación al cambio climático de los puertos autonómicos del Principado de Asturias.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78328E" w:rsidRPr="00ED2103" w:rsidTr="006F2DEE">
        <w:trPr>
          <w:trHeight w:val="754"/>
        </w:trPr>
        <w:tc>
          <w:tcPr>
            <w:tcW w:w="4111" w:type="dxa"/>
            <w:shd w:val="clear" w:color="auto" w:fill="DEEAF6" w:themeFill="accent1" w:themeFillTint="33"/>
            <w:noWrap/>
            <w:vAlign w:val="center"/>
          </w:tcPr>
          <w:p w:rsidR="00ED4193" w:rsidRPr="006D0A22" w:rsidRDefault="0078328E" w:rsidP="00DD342E">
            <w:pPr>
              <w:spacing w:after="0" w:line="240" w:lineRule="auto"/>
              <w:jc w:val="both"/>
              <w:rPr>
                <w:rFonts w:cs="Calibri"/>
                <w:color w:val="002060"/>
                <w:sz w:val="20"/>
                <w:szCs w:val="20"/>
              </w:rPr>
            </w:pPr>
            <w:r w:rsidRPr="006D0A22">
              <w:rPr>
                <w:rFonts w:cs="Calibri"/>
                <w:color w:val="002060"/>
                <w:sz w:val="20"/>
                <w:szCs w:val="20"/>
              </w:rPr>
              <w:t>Cualquier inversión incluida en esta actuación estará en línea con los Planes Hidrológicos del tercer ciclo de planificación 2022-2027, y atenderá en la medida de lo posible, a las recomendaciones para cada Estado Miembro en el marco de la planificación de Planes Hidrológicos.</w:t>
            </w:r>
          </w:p>
        </w:tc>
        <w:tc>
          <w:tcPr>
            <w:tcW w:w="3676" w:type="dxa"/>
            <w:gridSpan w:val="5"/>
            <w:shd w:val="clear" w:color="auto" w:fill="auto"/>
            <w:vAlign w:val="center"/>
          </w:tcPr>
          <w:p w:rsidR="0078328E" w:rsidRPr="00ED2103" w:rsidRDefault="0078328E" w:rsidP="00DD342E">
            <w:pPr>
              <w:spacing w:after="0" w:line="240" w:lineRule="auto"/>
              <w:jc w:val="both"/>
              <w:rPr>
                <w:rFonts w:eastAsia="Times New Roman" w:cstheme="minorHAnsi"/>
                <w:sz w:val="20"/>
                <w:szCs w:val="20"/>
                <w:lang w:eastAsia="es-ES"/>
              </w:rPr>
            </w:pPr>
          </w:p>
        </w:tc>
        <w:tc>
          <w:tcPr>
            <w:tcW w:w="2845" w:type="dxa"/>
            <w:gridSpan w:val="2"/>
            <w:shd w:val="clear" w:color="auto" w:fill="auto"/>
            <w:noWrap/>
            <w:vAlign w:val="center"/>
          </w:tcPr>
          <w:p w:rsidR="0078328E" w:rsidRPr="00ED2103" w:rsidRDefault="0078328E" w:rsidP="00DD342E">
            <w:pPr>
              <w:spacing w:after="0" w:line="240" w:lineRule="auto"/>
              <w:jc w:val="both"/>
              <w:rPr>
                <w:rFonts w:eastAsia="Times New Roman" w:cstheme="minorHAnsi"/>
                <w:color w:val="FF0000"/>
                <w:sz w:val="20"/>
                <w:szCs w:val="20"/>
                <w:lang w:eastAsia="es-ES"/>
              </w:rPr>
            </w:pPr>
          </w:p>
        </w:tc>
      </w:tr>
      <w:tr w:rsidR="004B048F" w:rsidRPr="00ED2103" w:rsidTr="006F2DEE">
        <w:trPr>
          <w:trHeight w:val="329"/>
        </w:trPr>
        <w:tc>
          <w:tcPr>
            <w:tcW w:w="4111" w:type="dxa"/>
            <w:shd w:val="clear" w:color="auto" w:fill="1F4E79" w:themeFill="accent1" w:themeFillShade="80"/>
            <w:noWrap/>
            <w:vAlign w:val="center"/>
          </w:tcPr>
          <w:p w:rsidR="004B048F" w:rsidRPr="00ED4193" w:rsidRDefault="004B048F" w:rsidP="00DD342E">
            <w:pPr>
              <w:spacing w:after="0" w:line="240" w:lineRule="auto"/>
              <w:jc w:val="both"/>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DNSH</w:t>
            </w:r>
          </w:p>
        </w:tc>
        <w:tc>
          <w:tcPr>
            <w:tcW w:w="3676" w:type="dxa"/>
            <w:gridSpan w:val="5"/>
            <w:shd w:val="clear" w:color="auto" w:fill="1F4E79" w:themeFill="accent1" w:themeFillShade="80"/>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4B048F" w:rsidRPr="00ED4193" w:rsidRDefault="004B048F" w:rsidP="00DD342E">
            <w:pPr>
              <w:spacing w:after="0" w:line="240" w:lineRule="auto"/>
              <w:jc w:val="both"/>
              <w:rPr>
                <w:rFonts w:eastAsia="Times New Roman" w:cs="Calibri"/>
                <w:b/>
                <w:bCs/>
                <w:color w:val="FFFFFF" w:themeColor="background1"/>
                <w:sz w:val="20"/>
                <w:szCs w:val="20"/>
                <w:lang w:eastAsia="es-ES"/>
              </w:rPr>
            </w:pPr>
            <w:r w:rsidRPr="00ED4193">
              <w:rPr>
                <w:rFonts w:eastAsia="Times New Roman" w:cs="Calibri"/>
                <w:b/>
                <w:bCs/>
                <w:color w:val="FFFFFF" w:themeColor="background1"/>
                <w:sz w:val="20"/>
                <w:szCs w:val="20"/>
                <w:lang w:eastAsia="es-ES"/>
              </w:rPr>
              <w:t>POSIBLES EVIDENCIAS</w:t>
            </w:r>
          </w:p>
        </w:tc>
      </w:tr>
      <w:tr w:rsidR="005A77BD" w:rsidRPr="00ED2103" w:rsidTr="006F2DEE">
        <w:trPr>
          <w:trHeight w:val="329"/>
        </w:trPr>
        <w:tc>
          <w:tcPr>
            <w:tcW w:w="4111" w:type="dxa"/>
            <w:shd w:val="clear" w:color="auto" w:fill="DEEAF6" w:themeFill="accent1" w:themeFillTint="33"/>
            <w:noWrap/>
            <w:vAlign w:val="center"/>
          </w:tcPr>
          <w:p w:rsidR="005A48CE" w:rsidRPr="00F62BC2" w:rsidRDefault="005A48CE" w:rsidP="005A48CE">
            <w:pPr>
              <w:spacing w:after="0" w:line="240" w:lineRule="auto"/>
              <w:jc w:val="both"/>
              <w:rPr>
                <w:rFonts w:cs="Calibri"/>
                <w:b/>
                <w:bCs/>
                <w:i/>
                <w:iCs/>
                <w:color w:val="002060"/>
                <w:sz w:val="20"/>
                <w:szCs w:val="20"/>
              </w:rPr>
            </w:pPr>
            <w:r w:rsidRPr="00F62BC2">
              <w:rPr>
                <w:rFonts w:cs="Calibri"/>
                <w:b/>
                <w:bCs/>
                <w:i/>
                <w:iCs/>
                <w:color w:val="002060"/>
                <w:sz w:val="20"/>
                <w:szCs w:val="20"/>
              </w:rPr>
              <w:lastRenderedPageBreak/>
              <w:t>Utilización y protección sostenibles de los recursos hídricos y marinos – Directivas de agua.</w:t>
            </w:r>
          </w:p>
          <w:p w:rsidR="005A77BD" w:rsidRPr="00ED4193" w:rsidRDefault="005A48CE" w:rsidP="005A48CE">
            <w:pPr>
              <w:spacing w:after="0" w:line="240" w:lineRule="auto"/>
              <w:jc w:val="both"/>
              <w:rPr>
                <w:rFonts w:eastAsia="Times New Roman" w:cstheme="minorHAnsi"/>
                <w:b/>
                <w:bCs/>
                <w:color w:val="FFFFFF" w:themeColor="background1"/>
                <w:sz w:val="20"/>
                <w:szCs w:val="20"/>
                <w:lang w:eastAsia="es-ES"/>
              </w:rPr>
            </w:pPr>
            <w:r w:rsidRPr="00F62BC2">
              <w:rPr>
                <w:rFonts w:cs="Calibri"/>
                <w:bCs/>
                <w:iCs/>
                <w:color w:val="002060"/>
                <w:sz w:val="20"/>
                <w:szCs w:val="20"/>
              </w:rPr>
              <w:t xml:space="preserve">Para evitar el impacto de la obra, los riesgos de degradación medioambiental relacionados con la preservación de la calidad del agua y la prevención del estrés hídrico se identificarán y abordarán de conformidad con los requisitos de las </w:t>
            </w:r>
            <w:r w:rsidRPr="003B1375">
              <w:rPr>
                <w:rFonts w:cs="Calibri"/>
                <w:b/>
                <w:bCs/>
                <w:iCs/>
                <w:color w:val="002060"/>
                <w:sz w:val="20"/>
                <w:szCs w:val="20"/>
              </w:rPr>
              <w:t>Directiva 2000/60/CE (Directiva marco del agua), Directiva 2008/56/CE (Directiva marco sobre la estrategia marina) y Directiva 2006/118/CE relativa a la protección de las aguas subterráneas</w:t>
            </w:r>
            <w:r w:rsidRPr="00F62BC2">
              <w:rPr>
                <w:rFonts w:cs="Calibri"/>
                <w:bCs/>
                <w:iCs/>
                <w:color w:val="002060"/>
                <w:sz w:val="20"/>
                <w:szCs w:val="20"/>
              </w:rPr>
              <w:t xml:space="preserve"> contra la contaminación y el deterioro.</w:t>
            </w:r>
          </w:p>
        </w:tc>
        <w:tc>
          <w:tcPr>
            <w:tcW w:w="3676" w:type="dxa"/>
            <w:gridSpan w:val="5"/>
            <w:shd w:val="clear" w:color="auto" w:fill="auto"/>
            <w:vAlign w:val="center"/>
          </w:tcPr>
          <w:p w:rsidR="005A77BD" w:rsidRPr="00ED4193" w:rsidRDefault="005A77BD" w:rsidP="00DD342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77BD" w:rsidRPr="00ED4193" w:rsidRDefault="005A77BD" w:rsidP="00DD342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Pr="001407FC" w:rsidRDefault="005A48CE" w:rsidP="005A48CE">
            <w:pPr>
              <w:spacing w:after="0" w:line="240" w:lineRule="auto"/>
              <w:jc w:val="both"/>
              <w:rPr>
                <w:rFonts w:cs="Calibri"/>
                <w:b/>
                <w:bCs/>
                <w:i/>
                <w:iCs/>
                <w:color w:val="002060"/>
                <w:sz w:val="20"/>
                <w:szCs w:val="20"/>
              </w:rPr>
            </w:pPr>
            <w:r w:rsidRPr="001407FC">
              <w:rPr>
                <w:rFonts w:cs="Calibri"/>
                <w:b/>
                <w:bCs/>
                <w:i/>
                <w:iCs/>
                <w:color w:val="002060"/>
                <w:sz w:val="20"/>
                <w:szCs w:val="20"/>
              </w:rPr>
              <w:t>Economía circular – Residuos de construcción y demolición.</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Default="005A48CE" w:rsidP="005A48CE">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Se adoptarán medidas para reducir el ruido, el polvo y las emisiones contaminantes durante la fase de obra, ejecutándose todas las actuaciones de conformidad con lo dispuesto en la normativa vigente en materia de contaminación de suelos y agua.</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DEEAF6" w:themeFill="accent1" w:themeFillTint="33"/>
            <w:noWrap/>
          </w:tcPr>
          <w:p w:rsidR="005A48CE" w:rsidRDefault="005A48CE" w:rsidP="005A48CE">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5A48CE" w:rsidRPr="00211024" w:rsidRDefault="005A48CE" w:rsidP="005A48CE">
            <w:pPr>
              <w:spacing w:after="0" w:line="240" w:lineRule="auto"/>
              <w:jc w:val="both"/>
              <w:rPr>
                <w:rFonts w:eastAsia="Times New Roman" w:cstheme="minorHAnsi"/>
                <w:color w:val="002060"/>
                <w:sz w:val="20"/>
                <w:szCs w:val="20"/>
                <w:lang w:eastAsia="es-ES"/>
              </w:rPr>
            </w:pPr>
            <w:r w:rsidRPr="00A25896">
              <w:rPr>
                <w:rFonts w:cs="Calibri"/>
                <w:color w:val="002060"/>
                <w:sz w:val="20"/>
                <w:szCs w:val="20"/>
              </w:rPr>
              <w:t xml:space="preserve">Los componentes y materiales de construcción utilizados en el desarrollo de las actuaciones previstas no contendrán amianto ni sustancias tóxicas identificadas a partir de la lista de sustancias sujetas a autorización que figura en el </w:t>
            </w:r>
            <w:r w:rsidRPr="00A25896">
              <w:rPr>
                <w:rFonts w:cs="Calibri"/>
                <w:color w:val="002060"/>
                <w:sz w:val="20"/>
                <w:szCs w:val="20"/>
              </w:rPr>
              <w:lastRenderedPageBreak/>
              <w:t>anexo XIV del Reglamento (CE) 1907/2006.</w:t>
            </w:r>
          </w:p>
        </w:tc>
        <w:tc>
          <w:tcPr>
            <w:tcW w:w="3676" w:type="dxa"/>
            <w:gridSpan w:val="5"/>
            <w:shd w:val="clear" w:color="auto" w:fill="auto"/>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c>
          <w:tcPr>
            <w:tcW w:w="2845" w:type="dxa"/>
            <w:gridSpan w:val="2"/>
            <w:shd w:val="clear" w:color="auto" w:fill="auto"/>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p>
        </w:tc>
      </w:tr>
      <w:tr w:rsidR="005A48CE" w:rsidRPr="00ED2103" w:rsidTr="006F2DEE">
        <w:trPr>
          <w:trHeight w:val="329"/>
        </w:trPr>
        <w:tc>
          <w:tcPr>
            <w:tcW w:w="4111" w:type="dxa"/>
            <w:shd w:val="clear" w:color="auto" w:fill="1F4E79" w:themeFill="accent1" w:themeFillShade="80"/>
            <w:noWrap/>
            <w:vAlign w:val="center"/>
          </w:tcPr>
          <w:p w:rsidR="005A48CE" w:rsidRPr="00ED4193" w:rsidRDefault="005A48CE" w:rsidP="005A48CE">
            <w:pPr>
              <w:spacing w:after="0" w:line="240" w:lineRule="auto"/>
              <w:jc w:val="both"/>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lastRenderedPageBreak/>
              <w:t xml:space="preserve">CRITERIOS DE PRIORIZACIÓN </w:t>
            </w:r>
          </w:p>
        </w:tc>
        <w:tc>
          <w:tcPr>
            <w:tcW w:w="3676" w:type="dxa"/>
            <w:gridSpan w:val="5"/>
            <w:shd w:val="clear" w:color="auto" w:fill="1F4E79" w:themeFill="accent1" w:themeFillShade="80"/>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POSIBLES JUSTIFICACIONES</w:t>
            </w:r>
          </w:p>
        </w:tc>
        <w:tc>
          <w:tcPr>
            <w:tcW w:w="2845" w:type="dxa"/>
            <w:gridSpan w:val="2"/>
            <w:shd w:val="clear" w:color="auto" w:fill="1F4E79" w:themeFill="accent1" w:themeFillShade="80"/>
            <w:noWrap/>
            <w:vAlign w:val="center"/>
          </w:tcPr>
          <w:p w:rsidR="005A48CE" w:rsidRPr="00ED4193" w:rsidRDefault="005A48CE" w:rsidP="005A48CE">
            <w:pPr>
              <w:spacing w:after="0" w:line="240" w:lineRule="auto"/>
              <w:jc w:val="center"/>
              <w:rPr>
                <w:rFonts w:eastAsia="Times New Roman" w:cstheme="minorHAnsi"/>
                <w:b/>
                <w:bCs/>
                <w:color w:val="FFFFFF" w:themeColor="background1"/>
                <w:sz w:val="20"/>
                <w:szCs w:val="20"/>
                <w:lang w:eastAsia="es-ES"/>
              </w:rPr>
            </w:pPr>
            <w:r w:rsidRPr="00ED4193">
              <w:rPr>
                <w:rFonts w:eastAsia="Times New Roman" w:cstheme="minorHAnsi"/>
                <w:b/>
                <w:bCs/>
                <w:color w:val="FFFFFF" w:themeColor="background1"/>
                <w:sz w:val="20"/>
                <w:szCs w:val="20"/>
                <w:lang w:eastAsia="es-ES"/>
              </w:rPr>
              <w:t>POSIBLES EVIDENCIAS</w:t>
            </w:r>
          </w:p>
        </w:tc>
      </w:tr>
      <w:tr w:rsidR="005A48CE" w:rsidRPr="00ED2103" w:rsidTr="006F2DEE">
        <w:trPr>
          <w:trHeight w:val="329"/>
        </w:trPr>
        <w:tc>
          <w:tcPr>
            <w:tcW w:w="4111" w:type="dxa"/>
            <w:shd w:val="clear" w:color="auto" w:fill="DEEAF6" w:themeFill="accent1" w:themeFillTint="33"/>
            <w:noWrap/>
            <w:vAlign w:val="center"/>
          </w:tcPr>
          <w:p w:rsidR="005E08F9" w:rsidRPr="005E08F9" w:rsidRDefault="005E08F9" w:rsidP="005A48CE">
            <w:pPr>
              <w:spacing w:after="0" w:line="240" w:lineRule="auto"/>
              <w:jc w:val="both"/>
              <w:rPr>
                <w:rFonts w:cs="Calibri"/>
                <w:b/>
                <w:bCs/>
                <w:i/>
                <w:iCs/>
                <w:color w:val="002060"/>
                <w:sz w:val="20"/>
                <w:szCs w:val="20"/>
              </w:rPr>
            </w:pPr>
            <w:r w:rsidRPr="005E08F9">
              <w:rPr>
                <w:rFonts w:cs="Calibri"/>
                <w:b/>
                <w:bCs/>
                <w:i/>
                <w:iCs/>
                <w:color w:val="002060"/>
                <w:sz w:val="20"/>
                <w:szCs w:val="20"/>
              </w:rPr>
              <w:t xml:space="preserve">Acciones con un enfoque preventivo </w:t>
            </w:r>
          </w:p>
          <w:p w:rsidR="005A48CE" w:rsidRPr="00387229" w:rsidRDefault="005A48CE" w:rsidP="005A48CE">
            <w:pPr>
              <w:spacing w:after="0" w:line="240" w:lineRule="auto"/>
              <w:jc w:val="both"/>
              <w:rPr>
                <w:rFonts w:eastAsia="Times New Roman" w:cstheme="minorHAnsi"/>
                <w:color w:val="002060"/>
                <w:sz w:val="20"/>
                <w:szCs w:val="20"/>
                <w:lang w:eastAsia="es-ES"/>
              </w:rPr>
            </w:pPr>
            <w:r w:rsidRPr="0078328E">
              <w:rPr>
                <w:rFonts w:eastAsia="Times New Roman" w:cstheme="minorHAnsi"/>
                <w:color w:val="002060"/>
                <w:sz w:val="20"/>
                <w:szCs w:val="20"/>
                <w:lang w:eastAsia="es-ES"/>
              </w:rPr>
              <w:t>Se priorizarán actuaciones que tengan un enfoque preventivo, preferentemente a través de soluciones basadas en la naturaleza. Se evitará infraestructura gris en la medida que las condiciones climáticas, demográficas o ambientales lo permitan.</w:t>
            </w:r>
          </w:p>
        </w:tc>
        <w:tc>
          <w:tcPr>
            <w:tcW w:w="3676" w:type="dxa"/>
            <w:gridSpan w:val="5"/>
            <w:shd w:val="clear" w:color="auto" w:fill="auto"/>
            <w:vAlign w:val="center"/>
          </w:tcPr>
          <w:p w:rsidR="005A48CE" w:rsidRPr="00ED2103" w:rsidRDefault="005A48CE" w:rsidP="005A48CE">
            <w:pPr>
              <w:spacing w:after="0" w:line="240" w:lineRule="auto"/>
              <w:jc w:val="both"/>
              <w:rPr>
                <w:rFonts w:eastAsia="Times New Roman" w:cstheme="minorHAnsi"/>
                <w:color w:val="000000"/>
                <w:sz w:val="20"/>
                <w:szCs w:val="20"/>
                <w:lang w:eastAsia="es-ES"/>
              </w:rPr>
            </w:pPr>
          </w:p>
        </w:tc>
        <w:tc>
          <w:tcPr>
            <w:tcW w:w="2845" w:type="dxa"/>
            <w:gridSpan w:val="2"/>
            <w:shd w:val="clear" w:color="auto" w:fill="auto"/>
            <w:noWrap/>
            <w:vAlign w:val="center"/>
          </w:tcPr>
          <w:p w:rsidR="005A48CE" w:rsidRPr="00ED2103" w:rsidRDefault="005A48CE" w:rsidP="005A48CE">
            <w:pPr>
              <w:spacing w:after="0" w:line="240" w:lineRule="auto"/>
              <w:jc w:val="both"/>
              <w:rPr>
                <w:rFonts w:eastAsia="Times New Roman" w:cstheme="minorHAnsi"/>
                <w:color w:val="000000"/>
                <w:sz w:val="20"/>
                <w:szCs w:val="20"/>
                <w:lang w:eastAsia="es-ES"/>
              </w:rPr>
            </w:pPr>
            <w:r w:rsidRPr="00ED2103">
              <w:rPr>
                <w:rFonts w:eastAsia="Times New Roman" w:cstheme="minorHAnsi"/>
                <w:color w:val="000000"/>
                <w:sz w:val="20"/>
                <w:szCs w:val="20"/>
                <w:lang w:eastAsia="es-ES"/>
              </w:rPr>
              <w:t> </w:t>
            </w:r>
          </w:p>
        </w:tc>
      </w:tr>
      <w:tr w:rsidR="005A48CE" w:rsidRPr="00ED2103" w:rsidTr="006F2DEE">
        <w:trPr>
          <w:trHeight w:val="329"/>
        </w:trPr>
        <w:tc>
          <w:tcPr>
            <w:tcW w:w="4111" w:type="dxa"/>
            <w:shd w:val="clear" w:color="auto" w:fill="DEEAF6" w:themeFill="accent1" w:themeFillTint="33"/>
            <w:noWrap/>
            <w:vAlign w:val="center"/>
          </w:tcPr>
          <w:p w:rsidR="005E08F9" w:rsidRPr="005E08F9" w:rsidRDefault="005E08F9" w:rsidP="005A48CE">
            <w:pPr>
              <w:spacing w:after="0" w:line="240" w:lineRule="auto"/>
              <w:jc w:val="both"/>
              <w:rPr>
                <w:rFonts w:cs="Calibri"/>
                <w:b/>
                <w:bCs/>
                <w:i/>
                <w:iCs/>
                <w:color w:val="002060"/>
                <w:sz w:val="20"/>
                <w:szCs w:val="20"/>
              </w:rPr>
            </w:pPr>
            <w:r w:rsidRPr="005E08F9">
              <w:rPr>
                <w:rFonts w:cs="Calibri"/>
                <w:b/>
                <w:bCs/>
                <w:i/>
                <w:iCs/>
                <w:color w:val="002060"/>
                <w:sz w:val="20"/>
                <w:szCs w:val="20"/>
              </w:rPr>
              <w:t xml:space="preserve">Áreas con mayor riesgo potencial de inundación </w:t>
            </w:r>
          </w:p>
          <w:p w:rsidR="005A48CE" w:rsidRPr="00387229" w:rsidRDefault="005A48CE" w:rsidP="005A48CE">
            <w:pPr>
              <w:spacing w:after="0" w:line="240" w:lineRule="auto"/>
              <w:jc w:val="both"/>
              <w:rPr>
                <w:rFonts w:eastAsia="Times New Roman" w:cstheme="minorHAnsi"/>
                <w:color w:val="002060"/>
                <w:sz w:val="20"/>
                <w:szCs w:val="20"/>
                <w:lang w:eastAsia="es-ES"/>
              </w:rPr>
            </w:pPr>
            <w:r w:rsidRPr="0078328E">
              <w:rPr>
                <w:rFonts w:eastAsia="Times New Roman" w:cstheme="minorHAnsi"/>
                <w:color w:val="002060"/>
                <w:sz w:val="20"/>
                <w:szCs w:val="20"/>
                <w:lang w:eastAsia="es-ES"/>
              </w:rPr>
              <w:t>Se priorizarán aquellas áreas que de acuerdo con la normativa europea (Directiva 2007/60/CE) y a su transposición al ordenamiento jurídico español (Real</w:t>
            </w:r>
            <w:r>
              <w:t xml:space="preserve"> </w:t>
            </w:r>
            <w:r w:rsidRPr="0078328E">
              <w:rPr>
                <w:rFonts w:eastAsia="Times New Roman" w:cstheme="minorHAnsi"/>
                <w:color w:val="002060"/>
                <w:sz w:val="20"/>
                <w:szCs w:val="20"/>
                <w:lang w:eastAsia="es-ES"/>
              </w:rPr>
              <w:t>Decreto 903/2010), supongan un mayor Riesgo Potencial Significativo de Inundación.</w:t>
            </w:r>
          </w:p>
        </w:tc>
        <w:tc>
          <w:tcPr>
            <w:tcW w:w="3676" w:type="dxa"/>
            <w:gridSpan w:val="5"/>
            <w:shd w:val="clear" w:color="auto" w:fill="auto"/>
            <w:vAlign w:val="center"/>
          </w:tcPr>
          <w:p w:rsidR="005A48CE" w:rsidRDefault="005A48CE" w:rsidP="005A48CE">
            <w:pPr>
              <w:pStyle w:val="Default"/>
              <w:jc w:val="both"/>
              <w:rPr>
                <w:rFonts w:cs="Times New Roman"/>
                <w:color w:val="auto"/>
              </w:rPr>
            </w:pPr>
          </w:p>
          <w:p w:rsidR="005A48CE" w:rsidRDefault="005A48CE" w:rsidP="005A48CE">
            <w:pPr>
              <w:pStyle w:val="Default"/>
              <w:jc w:val="both"/>
              <w:rPr>
                <w:sz w:val="20"/>
                <w:szCs w:val="20"/>
              </w:rPr>
            </w:pPr>
          </w:p>
          <w:p w:rsidR="005A48CE" w:rsidRPr="00ED2103" w:rsidRDefault="005A48CE" w:rsidP="005A48CE">
            <w:pPr>
              <w:spacing w:after="0" w:line="240" w:lineRule="auto"/>
              <w:jc w:val="both"/>
              <w:rPr>
                <w:rFonts w:eastAsia="Times New Roman" w:cstheme="minorHAnsi"/>
                <w:color w:val="000000"/>
                <w:sz w:val="20"/>
                <w:szCs w:val="20"/>
                <w:lang w:eastAsia="es-ES"/>
              </w:rPr>
            </w:pPr>
          </w:p>
        </w:tc>
        <w:tc>
          <w:tcPr>
            <w:tcW w:w="2845" w:type="dxa"/>
            <w:gridSpan w:val="2"/>
            <w:shd w:val="clear" w:color="auto" w:fill="auto"/>
            <w:noWrap/>
            <w:vAlign w:val="center"/>
          </w:tcPr>
          <w:p w:rsidR="005A48CE" w:rsidRPr="00ED2103" w:rsidRDefault="005A48CE" w:rsidP="005A48CE">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bl>
    <w:p w:rsidR="00C95CFD" w:rsidRDefault="00C95CFD" w:rsidP="008A6337">
      <w:pPr>
        <w:jc w:val="center"/>
        <w:rPr>
          <w:rFonts w:cstheme="minorHAnsi"/>
          <w:sz w:val="20"/>
          <w:szCs w:val="20"/>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8A6337">
      <w:pPr>
        <w:jc w:val="center"/>
        <w:rPr>
          <w:rFonts w:cstheme="minorHAnsi"/>
          <w:sz w:val="20"/>
          <w:szCs w:val="20"/>
        </w:rPr>
      </w:pPr>
      <w:r w:rsidRPr="00A97432">
        <w:rPr>
          <w:rFonts w:cstheme="minorHAnsi"/>
          <w:sz w:val="20"/>
          <w:szCs w:val="20"/>
        </w:rPr>
        <w:t>El Jefe de Servicio de………</w:t>
      </w:r>
    </w:p>
    <w:p w:rsidR="008A6337" w:rsidRPr="00A97432" w:rsidRDefault="008A6337" w:rsidP="008A6337">
      <w:pPr>
        <w:jc w:val="center"/>
        <w:rPr>
          <w:rFonts w:cstheme="minorHAnsi"/>
          <w:sz w:val="20"/>
          <w:szCs w:val="20"/>
        </w:rPr>
      </w:pPr>
    </w:p>
    <w:sectPr w:rsidR="008A6337" w:rsidRPr="00A97432" w:rsidSect="00072652">
      <w:headerReference w:type="default" r:id="rId9"/>
      <w:footerReference w:type="default" r:id="rId10"/>
      <w:pgSz w:w="11906" w:h="16838" w:code="9"/>
      <w:pgMar w:top="981" w:right="1134"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E2" w:rsidRDefault="009A4FE2" w:rsidP="00895B8C">
      <w:pPr>
        <w:spacing w:after="0" w:line="240" w:lineRule="auto"/>
      </w:pPr>
      <w:r>
        <w:separator/>
      </w:r>
    </w:p>
  </w:endnote>
  <w:endnote w:type="continuationSeparator" w:id="0">
    <w:p w:rsidR="009A4FE2" w:rsidRDefault="009A4FE2"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sturica">
    <w:altName w:val="Asturica"/>
    <w:panose1 w:val="00000000000000000000"/>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8A2" w:rsidRDefault="00441812" w:rsidP="00F678A2">
    <w:pPr>
      <w:pStyle w:val="Piedepgina"/>
      <w:jc w:val="center"/>
    </w:pPr>
    <w:r w:rsidRPr="00F538F2">
      <w:rPr>
        <w:noProof/>
        <w:lang w:eastAsia="es-ES"/>
      </w:rPr>
      <w:drawing>
        <wp:inline distT="0" distB="0" distL="0" distR="0" wp14:anchorId="6A14786A" wp14:editId="2E5C5938">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E2" w:rsidRDefault="009A4FE2" w:rsidP="00895B8C">
      <w:pPr>
        <w:spacing w:after="0" w:line="240" w:lineRule="auto"/>
      </w:pPr>
      <w:r>
        <w:separator/>
      </w:r>
    </w:p>
  </w:footnote>
  <w:footnote w:type="continuationSeparator" w:id="0">
    <w:p w:rsidR="009A4FE2" w:rsidRDefault="009A4FE2" w:rsidP="0089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06"/>
      <w:gridCol w:w="4270"/>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5E8E67DD" wp14:editId="18337928">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A746C3"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09BBAE47" wp14:editId="00199CDC">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 y Fondos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71A346D6" wp14:editId="1FE17250">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1B5391"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26EB1DD6" wp14:editId="24E46C1E">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4E3A47E"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8753F5"/>
    <w:multiLevelType w:val="hybridMultilevel"/>
    <w:tmpl w:val="43CC75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4E33641"/>
    <w:multiLevelType w:val="hybridMultilevel"/>
    <w:tmpl w:val="E60E4D80"/>
    <w:lvl w:ilvl="0" w:tplc="AF38A06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8"/>
  </w:num>
  <w:num w:numId="4">
    <w:abstractNumId w:val="33"/>
  </w:num>
  <w:num w:numId="5">
    <w:abstractNumId w:val="13"/>
  </w:num>
  <w:num w:numId="6">
    <w:abstractNumId w:val="4"/>
  </w:num>
  <w:num w:numId="7">
    <w:abstractNumId w:val="14"/>
  </w:num>
  <w:num w:numId="8">
    <w:abstractNumId w:val="20"/>
  </w:num>
  <w:num w:numId="9">
    <w:abstractNumId w:val="27"/>
  </w:num>
  <w:num w:numId="10">
    <w:abstractNumId w:val="26"/>
  </w:num>
  <w:num w:numId="11">
    <w:abstractNumId w:val="31"/>
  </w:num>
  <w:num w:numId="12">
    <w:abstractNumId w:val="35"/>
  </w:num>
  <w:num w:numId="13">
    <w:abstractNumId w:val="17"/>
  </w:num>
  <w:num w:numId="14">
    <w:abstractNumId w:val="0"/>
  </w:num>
  <w:num w:numId="15">
    <w:abstractNumId w:val="12"/>
  </w:num>
  <w:num w:numId="16">
    <w:abstractNumId w:val="34"/>
  </w:num>
  <w:num w:numId="17">
    <w:abstractNumId w:val="1"/>
  </w:num>
  <w:num w:numId="18">
    <w:abstractNumId w:val="29"/>
  </w:num>
  <w:num w:numId="19">
    <w:abstractNumId w:val="24"/>
  </w:num>
  <w:num w:numId="20">
    <w:abstractNumId w:val="15"/>
  </w:num>
  <w:num w:numId="21">
    <w:abstractNumId w:val="32"/>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3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66FB"/>
    <w:rsid w:val="00011D77"/>
    <w:rsid w:val="000134F2"/>
    <w:rsid w:val="000153A2"/>
    <w:rsid w:val="00015B0F"/>
    <w:rsid w:val="00020442"/>
    <w:rsid w:val="0002615B"/>
    <w:rsid w:val="00026E2C"/>
    <w:rsid w:val="00030D4A"/>
    <w:rsid w:val="00036B8E"/>
    <w:rsid w:val="00037206"/>
    <w:rsid w:val="00037373"/>
    <w:rsid w:val="000435BE"/>
    <w:rsid w:val="0004636E"/>
    <w:rsid w:val="0005684C"/>
    <w:rsid w:val="0005708B"/>
    <w:rsid w:val="00071DAC"/>
    <w:rsid w:val="00072652"/>
    <w:rsid w:val="00076365"/>
    <w:rsid w:val="000A0B00"/>
    <w:rsid w:val="000A2407"/>
    <w:rsid w:val="000B3BEB"/>
    <w:rsid w:val="000C7603"/>
    <w:rsid w:val="000E61DD"/>
    <w:rsid w:val="000F05DA"/>
    <w:rsid w:val="000F7945"/>
    <w:rsid w:val="00114D34"/>
    <w:rsid w:val="001153A5"/>
    <w:rsid w:val="00117409"/>
    <w:rsid w:val="001235F3"/>
    <w:rsid w:val="00125915"/>
    <w:rsid w:val="0014549B"/>
    <w:rsid w:val="00146F14"/>
    <w:rsid w:val="001603F0"/>
    <w:rsid w:val="00177E02"/>
    <w:rsid w:val="00183B0D"/>
    <w:rsid w:val="0019097B"/>
    <w:rsid w:val="001A1E43"/>
    <w:rsid w:val="001A4C19"/>
    <w:rsid w:val="001B28A4"/>
    <w:rsid w:val="001B636A"/>
    <w:rsid w:val="001B7391"/>
    <w:rsid w:val="001C4D9C"/>
    <w:rsid w:val="001C7003"/>
    <w:rsid w:val="001D1E3E"/>
    <w:rsid w:val="001E1E29"/>
    <w:rsid w:val="001F0DAD"/>
    <w:rsid w:val="001F4B49"/>
    <w:rsid w:val="001F60D7"/>
    <w:rsid w:val="00201A99"/>
    <w:rsid w:val="0021068A"/>
    <w:rsid w:val="002149DB"/>
    <w:rsid w:val="00221409"/>
    <w:rsid w:val="00230902"/>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37FC"/>
    <w:rsid w:val="002F2D8D"/>
    <w:rsid w:val="0030164C"/>
    <w:rsid w:val="00302B60"/>
    <w:rsid w:val="00321F71"/>
    <w:rsid w:val="00323E1A"/>
    <w:rsid w:val="00334BE2"/>
    <w:rsid w:val="00334E48"/>
    <w:rsid w:val="00335C49"/>
    <w:rsid w:val="00337BD0"/>
    <w:rsid w:val="003424A3"/>
    <w:rsid w:val="0035384F"/>
    <w:rsid w:val="00373CC8"/>
    <w:rsid w:val="00374080"/>
    <w:rsid w:val="00377C42"/>
    <w:rsid w:val="0038436A"/>
    <w:rsid w:val="00384B8E"/>
    <w:rsid w:val="003A0F51"/>
    <w:rsid w:val="003B17A9"/>
    <w:rsid w:val="003B1AB2"/>
    <w:rsid w:val="003B5BC4"/>
    <w:rsid w:val="003B795B"/>
    <w:rsid w:val="003C69F6"/>
    <w:rsid w:val="003D207F"/>
    <w:rsid w:val="003D5F2E"/>
    <w:rsid w:val="003D6466"/>
    <w:rsid w:val="003F15DB"/>
    <w:rsid w:val="004060DE"/>
    <w:rsid w:val="00410313"/>
    <w:rsid w:val="004115AA"/>
    <w:rsid w:val="00432343"/>
    <w:rsid w:val="00437910"/>
    <w:rsid w:val="00440A18"/>
    <w:rsid w:val="00441812"/>
    <w:rsid w:val="00445FA4"/>
    <w:rsid w:val="0045289F"/>
    <w:rsid w:val="004605AA"/>
    <w:rsid w:val="0046134E"/>
    <w:rsid w:val="00461B95"/>
    <w:rsid w:val="00464248"/>
    <w:rsid w:val="004647FC"/>
    <w:rsid w:val="004723FF"/>
    <w:rsid w:val="00482891"/>
    <w:rsid w:val="00490626"/>
    <w:rsid w:val="00493452"/>
    <w:rsid w:val="004A0E6D"/>
    <w:rsid w:val="004A1B5D"/>
    <w:rsid w:val="004A5742"/>
    <w:rsid w:val="004B048F"/>
    <w:rsid w:val="004B0F21"/>
    <w:rsid w:val="004B6A37"/>
    <w:rsid w:val="004D3962"/>
    <w:rsid w:val="004D52E8"/>
    <w:rsid w:val="004D786A"/>
    <w:rsid w:val="004E0328"/>
    <w:rsid w:val="004E1262"/>
    <w:rsid w:val="004F1880"/>
    <w:rsid w:val="005007CA"/>
    <w:rsid w:val="005011EE"/>
    <w:rsid w:val="00501F39"/>
    <w:rsid w:val="00507151"/>
    <w:rsid w:val="005114B3"/>
    <w:rsid w:val="00514858"/>
    <w:rsid w:val="005148BF"/>
    <w:rsid w:val="00536801"/>
    <w:rsid w:val="00542DA2"/>
    <w:rsid w:val="00547C85"/>
    <w:rsid w:val="00550047"/>
    <w:rsid w:val="00550ADA"/>
    <w:rsid w:val="005640E1"/>
    <w:rsid w:val="00564C14"/>
    <w:rsid w:val="00565E03"/>
    <w:rsid w:val="00566B2A"/>
    <w:rsid w:val="00577070"/>
    <w:rsid w:val="005814F6"/>
    <w:rsid w:val="00585AFF"/>
    <w:rsid w:val="00586F31"/>
    <w:rsid w:val="005A48CE"/>
    <w:rsid w:val="005A77BD"/>
    <w:rsid w:val="005B71BA"/>
    <w:rsid w:val="005C60E1"/>
    <w:rsid w:val="005D1A49"/>
    <w:rsid w:val="005D6647"/>
    <w:rsid w:val="005D7467"/>
    <w:rsid w:val="005E0490"/>
    <w:rsid w:val="005E08F9"/>
    <w:rsid w:val="00610268"/>
    <w:rsid w:val="0061581B"/>
    <w:rsid w:val="00621293"/>
    <w:rsid w:val="006261BE"/>
    <w:rsid w:val="006360A1"/>
    <w:rsid w:val="00637103"/>
    <w:rsid w:val="00641885"/>
    <w:rsid w:val="00651FE0"/>
    <w:rsid w:val="0066062B"/>
    <w:rsid w:val="006621AB"/>
    <w:rsid w:val="006726EF"/>
    <w:rsid w:val="006800A8"/>
    <w:rsid w:val="006809F5"/>
    <w:rsid w:val="00687044"/>
    <w:rsid w:val="006A3E42"/>
    <w:rsid w:val="006B187D"/>
    <w:rsid w:val="006B1BD2"/>
    <w:rsid w:val="006C4A85"/>
    <w:rsid w:val="006C648D"/>
    <w:rsid w:val="006D66BD"/>
    <w:rsid w:val="006E2244"/>
    <w:rsid w:val="006F2DEE"/>
    <w:rsid w:val="006F5580"/>
    <w:rsid w:val="006F6E51"/>
    <w:rsid w:val="00700B1B"/>
    <w:rsid w:val="007014C5"/>
    <w:rsid w:val="00701924"/>
    <w:rsid w:val="00701BED"/>
    <w:rsid w:val="00701E7C"/>
    <w:rsid w:val="00720CE7"/>
    <w:rsid w:val="00720FEF"/>
    <w:rsid w:val="007247E9"/>
    <w:rsid w:val="00735A8C"/>
    <w:rsid w:val="00752C7D"/>
    <w:rsid w:val="00764BF5"/>
    <w:rsid w:val="00766A8B"/>
    <w:rsid w:val="00773AD9"/>
    <w:rsid w:val="0077482B"/>
    <w:rsid w:val="00781788"/>
    <w:rsid w:val="0078297E"/>
    <w:rsid w:val="0078328E"/>
    <w:rsid w:val="007A0424"/>
    <w:rsid w:val="007A416F"/>
    <w:rsid w:val="007A558B"/>
    <w:rsid w:val="007B028E"/>
    <w:rsid w:val="007B16E0"/>
    <w:rsid w:val="007C4261"/>
    <w:rsid w:val="007C6118"/>
    <w:rsid w:val="007D14EC"/>
    <w:rsid w:val="007D466B"/>
    <w:rsid w:val="007E4EED"/>
    <w:rsid w:val="007E5AEF"/>
    <w:rsid w:val="00800FD6"/>
    <w:rsid w:val="00801D78"/>
    <w:rsid w:val="0081703A"/>
    <w:rsid w:val="00820688"/>
    <w:rsid w:val="0083470B"/>
    <w:rsid w:val="008377B0"/>
    <w:rsid w:val="00840477"/>
    <w:rsid w:val="00857CF0"/>
    <w:rsid w:val="0087456B"/>
    <w:rsid w:val="00876D8F"/>
    <w:rsid w:val="008831D1"/>
    <w:rsid w:val="00895B8C"/>
    <w:rsid w:val="008A183E"/>
    <w:rsid w:val="008A6337"/>
    <w:rsid w:val="008B3FC5"/>
    <w:rsid w:val="008B6EEE"/>
    <w:rsid w:val="008B77B2"/>
    <w:rsid w:val="008D5BF2"/>
    <w:rsid w:val="008F421C"/>
    <w:rsid w:val="008F663E"/>
    <w:rsid w:val="009009EC"/>
    <w:rsid w:val="00901501"/>
    <w:rsid w:val="00907624"/>
    <w:rsid w:val="009231FF"/>
    <w:rsid w:val="009407FE"/>
    <w:rsid w:val="009409C1"/>
    <w:rsid w:val="009415DA"/>
    <w:rsid w:val="009506A8"/>
    <w:rsid w:val="009529D2"/>
    <w:rsid w:val="00952EA5"/>
    <w:rsid w:val="00954D4D"/>
    <w:rsid w:val="009716CE"/>
    <w:rsid w:val="00971BBA"/>
    <w:rsid w:val="00982C7E"/>
    <w:rsid w:val="00986D26"/>
    <w:rsid w:val="00987415"/>
    <w:rsid w:val="0099150E"/>
    <w:rsid w:val="00991FC3"/>
    <w:rsid w:val="009931E4"/>
    <w:rsid w:val="009A4FE2"/>
    <w:rsid w:val="009A7BFA"/>
    <w:rsid w:val="009B4A90"/>
    <w:rsid w:val="009B72A8"/>
    <w:rsid w:val="009B7C42"/>
    <w:rsid w:val="009D6B69"/>
    <w:rsid w:val="009E0BBF"/>
    <w:rsid w:val="009F04DD"/>
    <w:rsid w:val="00A00376"/>
    <w:rsid w:val="00A07123"/>
    <w:rsid w:val="00A2107B"/>
    <w:rsid w:val="00A227B8"/>
    <w:rsid w:val="00A313FD"/>
    <w:rsid w:val="00A32332"/>
    <w:rsid w:val="00A34409"/>
    <w:rsid w:val="00A40209"/>
    <w:rsid w:val="00A54B92"/>
    <w:rsid w:val="00A60B87"/>
    <w:rsid w:val="00A6160A"/>
    <w:rsid w:val="00A67F25"/>
    <w:rsid w:val="00A7401F"/>
    <w:rsid w:val="00A8076D"/>
    <w:rsid w:val="00A82633"/>
    <w:rsid w:val="00A95275"/>
    <w:rsid w:val="00A960D3"/>
    <w:rsid w:val="00AA4B72"/>
    <w:rsid w:val="00AB5536"/>
    <w:rsid w:val="00AC209C"/>
    <w:rsid w:val="00AC430A"/>
    <w:rsid w:val="00AC7389"/>
    <w:rsid w:val="00AC751F"/>
    <w:rsid w:val="00AD3763"/>
    <w:rsid w:val="00AD4D96"/>
    <w:rsid w:val="00AD731F"/>
    <w:rsid w:val="00AE0B83"/>
    <w:rsid w:val="00AE3640"/>
    <w:rsid w:val="00AE4E63"/>
    <w:rsid w:val="00AF5AF5"/>
    <w:rsid w:val="00B00F5B"/>
    <w:rsid w:val="00B03139"/>
    <w:rsid w:val="00B15D77"/>
    <w:rsid w:val="00B201F1"/>
    <w:rsid w:val="00B2512E"/>
    <w:rsid w:val="00B37DE4"/>
    <w:rsid w:val="00B51332"/>
    <w:rsid w:val="00B524FC"/>
    <w:rsid w:val="00B54D3F"/>
    <w:rsid w:val="00B749F6"/>
    <w:rsid w:val="00B847F0"/>
    <w:rsid w:val="00B86DD8"/>
    <w:rsid w:val="00B87EFF"/>
    <w:rsid w:val="00B92B8F"/>
    <w:rsid w:val="00B95169"/>
    <w:rsid w:val="00B959AF"/>
    <w:rsid w:val="00B9668E"/>
    <w:rsid w:val="00B9796F"/>
    <w:rsid w:val="00BA2B32"/>
    <w:rsid w:val="00BB1273"/>
    <w:rsid w:val="00BC6EF8"/>
    <w:rsid w:val="00BE1F22"/>
    <w:rsid w:val="00BE4C4A"/>
    <w:rsid w:val="00BE63B5"/>
    <w:rsid w:val="00BE768B"/>
    <w:rsid w:val="00C00EA0"/>
    <w:rsid w:val="00C01192"/>
    <w:rsid w:val="00C041AA"/>
    <w:rsid w:val="00C1626F"/>
    <w:rsid w:val="00C32699"/>
    <w:rsid w:val="00C45E69"/>
    <w:rsid w:val="00C521EA"/>
    <w:rsid w:val="00C53723"/>
    <w:rsid w:val="00C539BB"/>
    <w:rsid w:val="00C55F0E"/>
    <w:rsid w:val="00C671A9"/>
    <w:rsid w:val="00C83755"/>
    <w:rsid w:val="00C95CFD"/>
    <w:rsid w:val="00CA048C"/>
    <w:rsid w:val="00CB2952"/>
    <w:rsid w:val="00CB2A67"/>
    <w:rsid w:val="00CC5AAB"/>
    <w:rsid w:val="00CD16BC"/>
    <w:rsid w:val="00CF46B0"/>
    <w:rsid w:val="00CF4CC9"/>
    <w:rsid w:val="00D064AD"/>
    <w:rsid w:val="00D10BF2"/>
    <w:rsid w:val="00D115BB"/>
    <w:rsid w:val="00D1570D"/>
    <w:rsid w:val="00D310D8"/>
    <w:rsid w:val="00D34E22"/>
    <w:rsid w:val="00D36B36"/>
    <w:rsid w:val="00D3767E"/>
    <w:rsid w:val="00D429E3"/>
    <w:rsid w:val="00D4447D"/>
    <w:rsid w:val="00D50001"/>
    <w:rsid w:val="00D5461C"/>
    <w:rsid w:val="00D55033"/>
    <w:rsid w:val="00D80DFF"/>
    <w:rsid w:val="00D8571A"/>
    <w:rsid w:val="00D945A3"/>
    <w:rsid w:val="00DA6608"/>
    <w:rsid w:val="00DB7265"/>
    <w:rsid w:val="00DB7D7F"/>
    <w:rsid w:val="00DC3119"/>
    <w:rsid w:val="00DD342E"/>
    <w:rsid w:val="00DF240A"/>
    <w:rsid w:val="00E01D74"/>
    <w:rsid w:val="00E07C36"/>
    <w:rsid w:val="00E15E0B"/>
    <w:rsid w:val="00E17DF8"/>
    <w:rsid w:val="00E21559"/>
    <w:rsid w:val="00E22100"/>
    <w:rsid w:val="00E23001"/>
    <w:rsid w:val="00E23859"/>
    <w:rsid w:val="00E31DD4"/>
    <w:rsid w:val="00E335B0"/>
    <w:rsid w:val="00E405E7"/>
    <w:rsid w:val="00E450EC"/>
    <w:rsid w:val="00E464C4"/>
    <w:rsid w:val="00E55061"/>
    <w:rsid w:val="00E56B53"/>
    <w:rsid w:val="00E8176F"/>
    <w:rsid w:val="00E836A5"/>
    <w:rsid w:val="00E92664"/>
    <w:rsid w:val="00EA15A3"/>
    <w:rsid w:val="00EA2197"/>
    <w:rsid w:val="00EB35C0"/>
    <w:rsid w:val="00EC0EF4"/>
    <w:rsid w:val="00EC266E"/>
    <w:rsid w:val="00EC5D9D"/>
    <w:rsid w:val="00EC711C"/>
    <w:rsid w:val="00EC7BC2"/>
    <w:rsid w:val="00EC7C12"/>
    <w:rsid w:val="00ED0C4F"/>
    <w:rsid w:val="00ED218A"/>
    <w:rsid w:val="00ED4193"/>
    <w:rsid w:val="00ED59F8"/>
    <w:rsid w:val="00ED77C7"/>
    <w:rsid w:val="00EE03D4"/>
    <w:rsid w:val="00EF536D"/>
    <w:rsid w:val="00F0029F"/>
    <w:rsid w:val="00F00D1C"/>
    <w:rsid w:val="00F06270"/>
    <w:rsid w:val="00F10DFB"/>
    <w:rsid w:val="00F14786"/>
    <w:rsid w:val="00F1514D"/>
    <w:rsid w:val="00F20740"/>
    <w:rsid w:val="00F27C8F"/>
    <w:rsid w:val="00F3463A"/>
    <w:rsid w:val="00F35F2D"/>
    <w:rsid w:val="00F37245"/>
    <w:rsid w:val="00F568F8"/>
    <w:rsid w:val="00F678A2"/>
    <w:rsid w:val="00F74704"/>
    <w:rsid w:val="00F84262"/>
    <w:rsid w:val="00F9182B"/>
    <w:rsid w:val="00F95193"/>
    <w:rsid w:val="00FB11A3"/>
    <w:rsid w:val="00FB267C"/>
    <w:rsid w:val="00FC781D"/>
    <w:rsid w:val="00FD0B8B"/>
    <w:rsid w:val="00FD1C01"/>
    <w:rsid w:val="00FD7B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83212243">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ED2E8-D05C-4E15-9496-A5D09EB1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4AA4A5A</Template>
  <TotalTime>109</TotalTime>
  <Pages>5</Pages>
  <Words>1285</Words>
  <Characters>7070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CESAR MORENO MERINO</cp:lastModifiedBy>
  <cp:revision>43</cp:revision>
  <cp:lastPrinted>2024-06-25T09:25:00Z</cp:lastPrinted>
  <dcterms:created xsi:type="dcterms:W3CDTF">2024-07-11T11:51:00Z</dcterms:created>
  <dcterms:modified xsi:type="dcterms:W3CDTF">2024-09-17T06:14:00Z</dcterms:modified>
</cp:coreProperties>
</file>