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37" w:rsidRPr="00E80E2F" w:rsidRDefault="008A6337" w:rsidP="00F2607F">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284" w:right="-285"/>
        <w:jc w:val="center"/>
        <w:rPr>
          <w:rFonts w:eastAsia="Times New Roman" w:cstheme="minorHAnsi"/>
          <w:b/>
          <w:bCs/>
          <w:sz w:val="28"/>
          <w:szCs w:val="28"/>
          <w:lang w:eastAsia="es-ES"/>
        </w:rPr>
      </w:pPr>
      <w:r w:rsidRPr="00E80E2F">
        <w:rPr>
          <w:rFonts w:eastAsia="Times New Roman" w:cstheme="minorHAnsi"/>
          <w:b/>
          <w:bCs/>
          <w:sz w:val="28"/>
          <w:szCs w:val="28"/>
          <w:lang w:eastAsia="es-ES"/>
        </w:rPr>
        <w:t xml:space="preserve">ANEXO </w:t>
      </w:r>
      <w:r w:rsidR="008A1A01">
        <w:rPr>
          <w:rFonts w:eastAsia="Times New Roman" w:cstheme="minorHAnsi"/>
          <w:b/>
          <w:bCs/>
          <w:sz w:val="28"/>
          <w:szCs w:val="28"/>
          <w:lang w:eastAsia="es-ES"/>
        </w:rPr>
        <w:t>I</w:t>
      </w:r>
      <w:r>
        <w:rPr>
          <w:rFonts w:eastAsia="Times New Roman" w:cstheme="minorHAnsi"/>
          <w:b/>
          <w:bCs/>
          <w:sz w:val="28"/>
          <w:szCs w:val="28"/>
          <w:lang w:eastAsia="es-ES"/>
        </w:rPr>
        <w:t xml:space="preserve"> -</w:t>
      </w:r>
      <w:r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971BBA">
        <w:rPr>
          <w:rFonts w:eastAsia="Times New Roman" w:cstheme="minorHAnsi"/>
          <w:b/>
          <w:bCs/>
          <w:sz w:val="28"/>
          <w:szCs w:val="28"/>
          <w:lang w:eastAsia="es-ES"/>
        </w:rPr>
        <w:t>4</w:t>
      </w:r>
      <w:r w:rsidR="00822B21">
        <w:rPr>
          <w:rFonts w:eastAsia="Times New Roman" w:cstheme="minorHAnsi"/>
          <w:b/>
          <w:bCs/>
          <w:sz w:val="28"/>
          <w:szCs w:val="28"/>
          <w:lang w:eastAsia="es-ES"/>
        </w:rPr>
        <w:t>.3</w:t>
      </w:r>
    </w:p>
    <w:p w:rsidR="008A6337" w:rsidRDefault="00C578BE" w:rsidP="00F2607F">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284" w:right="-285"/>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F30269" w:rsidRPr="00803F61" w:rsidRDefault="00F30269" w:rsidP="00F2607F">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284" w:right="-285"/>
        <w:jc w:val="center"/>
        <w:rPr>
          <w:rFonts w:eastAsia="Times New Roman" w:cstheme="minorHAnsi"/>
          <w:b/>
          <w:bCs/>
          <w:lang w:eastAsia="es-ES"/>
        </w:rPr>
      </w:pPr>
      <w:r w:rsidRPr="00803F61">
        <w:rPr>
          <w:rFonts w:eastAsia="Times New Roman" w:cstheme="minorHAnsi"/>
          <w:b/>
          <w:bCs/>
          <w:lang w:eastAsia="es-ES"/>
        </w:rPr>
        <w:t>AL AMPARO DE LA CONVOCATORIA DE EXPRESIONES DE INTERES DIRIGIDA A ORGANISMOS O ENTIDADES PÚBLICAS DEL P</w:t>
      </w:r>
      <w:r w:rsidR="00D200DC">
        <w:rPr>
          <w:rFonts w:eastAsia="Times New Roman" w:cstheme="minorHAnsi"/>
          <w:b/>
          <w:bCs/>
          <w:lang w:eastAsia="es-ES"/>
        </w:rPr>
        <w:t>R</w:t>
      </w:r>
      <w:r w:rsidRPr="00803F61">
        <w:rPr>
          <w:rFonts w:eastAsia="Times New Roman" w:cstheme="minorHAnsi"/>
          <w:b/>
          <w:bCs/>
          <w:lang w:eastAsia="es-ES"/>
        </w:rPr>
        <w:t>INCIPADO DE ASTURIAS</w:t>
      </w:r>
    </w:p>
    <w:p w:rsidR="008A6337" w:rsidRPr="00F177E5" w:rsidRDefault="00F177E5" w:rsidP="00F177E5">
      <w:pPr>
        <w:spacing w:before="120" w:after="360"/>
        <w:ind w:right="-1276"/>
        <w:jc w:val="center"/>
        <w:rPr>
          <w:rFonts w:ascii="Arial" w:eastAsia="Times New Roman" w:hAnsi="Arial" w:cs="Arial"/>
          <w:b/>
          <w:bCs/>
          <w:i/>
          <w:sz w:val="20"/>
          <w:szCs w:val="20"/>
          <w:lang w:eastAsia="es-ES"/>
        </w:rPr>
      </w:pPr>
      <w:r w:rsidRPr="00F177E5">
        <w:rPr>
          <w:rFonts w:ascii="Arial" w:eastAsia="Times New Roman" w:hAnsi="Arial" w:cs="Arial"/>
          <w:b/>
          <w:bCs/>
          <w:i/>
          <w:sz w:val="20"/>
          <w:szCs w:val="20"/>
          <w:lang w:eastAsia="es-ES"/>
        </w:rPr>
        <w:t xml:space="preserve">Criterios y Procedimientos para la Selección de Operaciones - Versión 1.0 </w:t>
      </w:r>
    </w:p>
    <w:tbl>
      <w:tblPr>
        <w:tblStyle w:val="Tablaconcuadrcula"/>
        <w:tblW w:w="10490" w:type="dxa"/>
        <w:tblInd w:w="-459" w:type="dxa"/>
        <w:tblLook w:val="04A0" w:firstRow="1" w:lastRow="0" w:firstColumn="1" w:lastColumn="0" w:noHBand="0" w:noVBand="1"/>
      </w:tblPr>
      <w:tblGrid>
        <w:gridCol w:w="2127"/>
        <w:gridCol w:w="8363"/>
      </w:tblGrid>
      <w:tr w:rsidR="00803F61" w:rsidTr="00C94374">
        <w:trPr>
          <w:trHeight w:val="615"/>
        </w:trPr>
        <w:tc>
          <w:tcPr>
            <w:tcW w:w="2127" w:type="dxa"/>
          </w:tcPr>
          <w:p w:rsidR="00803F61" w:rsidRDefault="00803F61" w:rsidP="009B6CC8">
            <w:pPr>
              <w:spacing w:after="0"/>
              <w:ind w:left="34" w:right="-1275"/>
              <w:rPr>
                <w:rFonts w:ascii="Arial" w:eastAsia="Times New Roman" w:hAnsi="Arial" w:cs="Arial"/>
                <w:b/>
                <w:bCs/>
                <w:sz w:val="20"/>
                <w:szCs w:val="20"/>
                <w:lang w:eastAsia="es-ES"/>
              </w:rPr>
            </w:pPr>
          </w:p>
          <w:p w:rsidR="00803F61" w:rsidRDefault="00803F61"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363" w:type="dxa"/>
          </w:tcPr>
          <w:p w:rsidR="00803F61" w:rsidRDefault="00803F61" w:rsidP="009B6CC8">
            <w:pPr>
              <w:spacing w:after="0"/>
              <w:ind w:left="34" w:right="-1275"/>
              <w:jc w:val="center"/>
              <w:rPr>
                <w:rFonts w:ascii="Arial" w:eastAsia="Times New Roman" w:hAnsi="Arial" w:cs="Arial"/>
                <w:b/>
                <w:bCs/>
                <w:sz w:val="20"/>
                <w:szCs w:val="20"/>
                <w:lang w:eastAsia="es-ES"/>
              </w:rPr>
            </w:pPr>
          </w:p>
        </w:tc>
      </w:tr>
      <w:tr w:rsidR="00803F61" w:rsidTr="00C94374">
        <w:trPr>
          <w:trHeight w:val="443"/>
        </w:trPr>
        <w:tc>
          <w:tcPr>
            <w:tcW w:w="2127" w:type="dxa"/>
            <w:vAlign w:val="center"/>
          </w:tcPr>
          <w:p w:rsidR="00803F61" w:rsidRDefault="00803F61"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363" w:type="dxa"/>
          </w:tcPr>
          <w:p w:rsidR="00803F61" w:rsidRDefault="00803F61" w:rsidP="009B6CC8">
            <w:pPr>
              <w:spacing w:after="0"/>
              <w:ind w:left="34" w:right="-1275"/>
              <w:jc w:val="center"/>
              <w:rPr>
                <w:rFonts w:ascii="Arial" w:eastAsia="Times New Roman" w:hAnsi="Arial" w:cs="Arial"/>
                <w:b/>
                <w:bCs/>
                <w:sz w:val="20"/>
                <w:szCs w:val="20"/>
                <w:lang w:eastAsia="es-ES"/>
              </w:rPr>
            </w:pPr>
          </w:p>
        </w:tc>
      </w:tr>
      <w:tr w:rsidR="00803F61" w:rsidTr="00C94374">
        <w:trPr>
          <w:trHeight w:val="517"/>
        </w:trPr>
        <w:tc>
          <w:tcPr>
            <w:tcW w:w="10490" w:type="dxa"/>
            <w:gridSpan w:val="2"/>
          </w:tcPr>
          <w:p w:rsidR="00803F61" w:rsidRDefault="008A1A01"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F30269" w:rsidRPr="00803F61" w:rsidRDefault="00F30269" w:rsidP="00803F61">
      <w:pPr>
        <w:ind w:right="142"/>
        <w:jc w:val="both"/>
        <w:rPr>
          <w:rFonts w:ascii="Arial" w:eastAsia="Times New Roman" w:hAnsi="Arial" w:cs="Arial"/>
          <w:b/>
          <w:bCs/>
          <w:sz w:val="20"/>
          <w:szCs w:val="20"/>
          <w:lang w:eastAsia="es-ES"/>
        </w:rPr>
      </w:pPr>
    </w:p>
    <w:tbl>
      <w:tblPr>
        <w:tblW w:w="10774" w:type="dxa"/>
        <w:tblInd w:w="-781"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4393"/>
        <w:gridCol w:w="993"/>
        <w:gridCol w:w="708"/>
        <w:gridCol w:w="851"/>
        <w:gridCol w:w="368"/>
        <w:gridCol w:w="47"/>
        <w:gridCol w:w="578"/>
        <w:gridCol w:w="2836"/>
      </w:tblGrid>
      <w:tr w:rsidR="008A6337" w:rsidRPr="00242ECC" w:rsidTr="000838DB">
        <w:trPr>
          <w:trHeight w:val="297"/>
        </w:trPr>
        <w:tc>
          <w:tcPr>
            <w:tcW w:w="4393" w:type="dxa"/>
            <w:shd w:val="clear" w:color="auto" w:fill="DEEAF6" w:themeFill="accent1" w:themeFillTint="33"/>
            <w:vAlign w:val="center"/>
            <w:hideMark/>
          </w:tcPr>
          <w:p w:rsidR="008A6337" w:rsidRPr="00242ECC" w:rsidRDefault="008A6337" w:rsidP="00FF2094">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381" w:type="dxa"/>
            <w:gridSpan w:val="7"/>
            <w:shd w:val="clear" w:color="auto" w:fill="DEEAF6" w:themeFill="accent1" w:themeFillTint="33"/>
            <w:vAlign w:val="center"/>
            <w:hideMark/>
          </w:tcPr>
          <w:p w:rsidR="008A6337" w:rsidRPr="009C60ED" w:rsidRDefault="008A6337" w:rsidP="00FF2094">
            <w:pPr>
              <w:spacing w:after="0" w:line="240" w:lineRule="auto"/>
              <w:ind w:right="112"/>
              <w:jc w:val="both"/>
              <w:rPr>
                <w:rFonts w:cs="Calibri"/>
                <w:color w:val="002060"/>
                <w:lang w:eastAsia="es-ES"/>
              </w:rPr>
            </w:pPr>
            <w:r w:rsidRPr="009C60ED">
              <w:rPr>
                <w:rFonts w:asciiTheme="minorHAnsi" w:eastAsia="Times New Roman" w:hAnsiTheme="minorHAnsi" w:cs="Calibri"/>
                <w:b/>
                <w:bCs/>
                <w:color w:val="002060"/>
                <w:sz w:val="20"/>
                <w:szCs w:val="20"/>
                <w:lang w:eastAsia="es-ES"/>
              </w:rPr>
              <w:t xml:space="preserve">OP </w:t>
            </w:r>
            <w:r w:rsidR="00072652" w:rsidRPr="009C60ED">
              <w:rPr>
                <w:rFonts w:asciiTheme="minorHAnsi" w:eastAsia="Times New Roman" w:hAnsiTheme="minorHAnsi" w:cs="Calibri"/>
                <w:b/>
                <w:bCs/>
                <w:color w:val="002060"/>
                <w:sz w:val="20"/>
                <w:szCs w:val="20"/>
                <w:lang w:eastAsia="es-ES"/>
              </w:rPr>
              <w:t>2</w:t>
            </w:r>
            <w:r w:rsidRPr="009C60ED">
              <w:rPr>
                <w:rFonts w:asciiTheme="minorHAnsi" w:eastAsia="Times New Roman" w:hAnsiTheme="minorHAnsi" w:cs="Calibri"/>
                <w:b/>
                <w:bCs/>
                <w:color w:val="002060"/>
                <w:sz w:val="20"/>
                <w:szCs w:val="20"/>
                <w:lang w:eastAsia="es-ES"/>
              </w:rPr>
              <w:t xml:space="preserve"> </w:t>
            </w:r>
            <w:r w:rsidR="006C4A85" w:rsidRPr="009C60ED">
              <w:rPr>
                <w:rFonts w:asciiTheme="minorHAnsi" w:eastAsia="Times New Roman" w:hAnsiTheme="minorHAnsi" w:cs="Calibri"/>
                <w:b/>
                <w:bCs/>
                <w:color w:val="002060"/>
                <w:sz w:val="20"/>
                <w:szCs w:val="20"/>
                <w:lang w:eastAsia="es-ES"/>
              </w:rPr>
              <w:t xml:space="preserve">- </w:t>
            </w:r>
            <w:r w:rsidR="00072652" w:rsidRPr="003C5641">
              <w:rPr>
                <w:rFonts w:cs="Calibri"/>
                <w:color w:val="002060"/>
                <w:sz w:val="20"/>
                <w:szCs w:val="20"/>
              </w:rPr>
              <w:t xml:space="preserve">Una Europa más verde, </w:t>
            </w:r>
            <w:proofErr w:type="spellStart"/>
            <w:r w:rsidR="00072652" w:rsidRPr="003C5641">
              <w:rPr>
                <w:rFonts w:cs="Calibri"/>
                <w:color w:val="002060"/>
                <w:sz w:val="20"/>
                <w:szCs w:val="20"/>
              </w:rPr>
              <w:t>hipocarbónica</w:t>
            </w:r>
            <w:proofErr w:type="spellEnd"/>
            <w:r w:rsidR="00072652" w:rsidRPr="003C5641">
              <w:rPr>
                <w:rFonts w:cs="Calibri"/>
                <w:color w:val="002060"/>
                <w:sz w:val="20"/>
                <w:szCs w:val="20"/>
              </w:rPr>
              <w:t xml:space="preserve"> y en transición hacia una economía con cero emisiones netas de carbono, y </w:t>
            </w:r>
            <w:proofErr w:type="spellStart"/>
            <w:r w:rsidR="00072652" w:rsidRPr="003C5641">
              <w:rPr>
                <w:rFonts w:cs="Calibri"/>
                <w:color w:val="002060"/>
                <w:sz w:val="20"/>
                <w:szCs w:val="20"/>
              </w:rPr>
              <w:t>resiliente</w:t>
            </w:r>
            <w:proofErr w:type="spellEnd"/>
            <w:r w:rsidR="00072652" w:rsidRPr="003C5641">
              <w:rPr>
                <w:rFonts w:cs="Calibri"/>
                <w:color w:val="002060"/>
                <w:sz w:val="20"/>
                <w:szCs w:val="20"/>
              </w:rPr>
              <w:t>, promoviendo una transición energética limpia y equitativa, la inversión verde y azul, la economía circular, la mitigación  el cambio</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381" w:type="dxa"/>
            <w:gridSpan w:val="7"/>
            <w:shd w:val="clear" w:color="auto" w:fill="DEEAF6" w:themeFill="accent1" w:themeFillTint="33"/>
            <w:vAlign w:val="center"/>
            <w:hideMark/>
          </w:tcPr>
          <w:p w:rsidR="008A6337" w:rsidRPr="009C60ED" w:rsidRDefault="008A6337" w:rsidP="00FF2094">
            <w:pPr>
              <w:spacing w:after="0" w:line="240" w:lineRule="auto"/>
              <w:ind w:right="709"/>
              <w:jc w:val="both"/>
              <w:rPr>
                <w:rFonts w:eastAsia="Times New Roman" w:cs="Calibri"/>
                <w:bCs/>
                <w:color w:val="002060"/>
                <w:sz w:val="20"/>
                <w:szCs w:val="20"/>
                <w:lang w:eastAsia="es-ES"/>
              </w:rPr>
            </w:pPr>
            <w:r w:rsidRPr="009C60ED">
              <w:rPr>
                <w:rFonts w:eastAsia="Times New Roman" w:cs="Calibri"/>
                <w:b/>
                <w:bCs/>
                <w:color w:val="002060"/>
                <w:sz w:val="20"/>
                <w:szCs w:val="20"/>
                <w:lang w:eastAsia="es-ES"/>
              </w:rPr>
              <w:t>OE</w:t>
            </w:r>
            <w:r w:rsidR="00072652" w:rsidRPr="009C60ED">
              <w:rPr>
                <w:rFonts w:eastAsia="Times New Roman" w:cs="Calibri"/>
                <w:b/>
                <w:bCs/>
                <w:color w:val="002060"/>
                <w:sz w:val="20"/>
                <w:szCs w:val="20"/>
                <w:lang w:eastAsia="es-ES"/>
              </w:rPr>
              <w:t xml:space="preserve"> 2</w:t>
            </w:r>
            <w:r w:rsidR="006C4A85" w:rsidRPr="009C60ED">
              <w:rPr>
                <w:rFonts w:eastAsia="Times New Roman" w:cs="Calibri"/>
                <w:b/>
                <w:bCs/>
                <w:color w:val="002060"/>
                <w:sz w:val="20"/>
                <w:szCs w:val="20"/>
                <w:lang w:eastAsia="es-ES"/>
              </w:rPr>
              <w:t>.</w:t>
            </w:r>
            <w:r w:rsidR="00610268" w:rsidRPr="009C60ED">
              <w:rPr>
                <w:rFonts w:eastAsia="Times New Roman" w:cs="Calibri"/>
                <w:b/>
                <w:bCs/>
                <w:color w:val="002060"/>
                <w:sz w:val="20"/>
                <w:szCs w:val="20"/>
                <w:lang w:eastAsia="es-ES"/>
              </w:rPr>
              <w:t>4</w:t>
            </w:r>
            <w:r w:rsidRPr="009C60ED">
              <w:rPr>
                <w:rFonts w:eastAsia="Times New Roman" w:cs="Calibri"/>
                <w:b/>
                <w:bCs/>
                <w:color w:val="002060"/>
                <w:sz w:val="20"/>
                <w:szCs w:val="20"/>
                <w:lang w:eastAsia="es-ES"/>
              </w:rPr>
              <w:t xml:space="preserve"> </w:t>
            </w:r>
            <w:r w:rsidR="00610268" w:rsidRPr="009C60ED">
              <w:rPr>
                <w:rFonts w:eastAsia="Times New Roman" w:cs="Calibri"/>
                <w:b/>
                <w:bCs/>
                <w:color w:val="002060"/>
                <w:sz w:val="20"/>
                <w:szCs w:val="20"/>
                <w:lang w:eastAsia="es-ES"/>
              </w:rPr>
              <w:t xml:space="preserve">- </w:t>
            </w:r>
            <w:r w:rsidR="00610268" w:rsidRPr="009C60ED">
              <w:rPr>
                <w:rFonts w:eastAsia="Times New Roman" w:cs="Calibri"/>
                <w:color w:val="002060"/>
                <w:sz w:val="20"/>
                <w:szCs w:val="20"/>
                <w:lang w:eastAsia="es-ES"/>
              </w:rPr>
              <w:t>Fomento de adaptación al cambio climático, la prevención del riesgo de catástrofes y la resiliencia</w:t>
            </w:r>
          </w:p>
        </w:tc>
      </w:tr>
      <w:tr w:rsidR="008A6337" w:rsidRPr="00ED2103" w:rsidTr="000838DB">
        <w:trPr>
          <w:trHeight w:val="312"/>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381" w:type="dxa"/>
            <w:gridSpan w:val="7"/>
            <w:shd w:val="clear" w:color="auto" w:fill="DEEAF6" w:themeFill="accent1" w:themeFillTint="33"/>
            <w:vAlign w:val="center"/>
            <w:hideMark/>
          </w:tcPr>
          <w:p w:rsidR="008A6337" w:rsidRPr="009C60ED" w:rsidRDefault="00971BBA" w:rsidP="00FF2094">
            <w:pPr>
              <w:spacing w:after="0" w:line="240" w:lineRule="auto"/>
              <w:ind w:right="214"/>
              <w:jc w:val="both"/>
              <w:rPr>
                <w:color w:val="002060"/>
                <w:sz w:val="21"/>
                <w:szCs w:val="21"/>
              </w:rPr>
            </w:pPr>
            <w:r w:rsidRPr="009C60ED">
              <w:rPr>
                <w:rFonts w:eastAsia="Times New Roman" w:cs="Arial"/>
                <w:b/>
                <w:color w:val="002060"/>
                <w:sz w:val="20"/>
                <w:szCs w:val="20"/>
                <w:lang w:eastAsia="es-ES"/>
              </w:rPr>
              <w:t>AS2A4</w:t>
            </w:r>
            <w:r w:rsidR="00DD0C74" w:rsidRPr="009C60ED">
              <w:rPr>
                <w:rFonts w:eastAsia="Times New Roman" w:cs="Arial"/>
                <w:b/>
                <w:color w:val="002060"/>
                <w:sz w:val="20"/>
                <w:szCs w:val="20"/>
                <w:lang w:eastAsia="es-ES"/>
              </w:rPr>
              <w:t>03</w:t>
            </w:r>
            <w:r w:rsidR="00BC6EF8" w:rsidRPr="009C60ED">
              <w:rPr>
                <w:rFonts w:eastAsia="Times New Roman" w:cs="Arial"/>
                <w:b/>
                <w:color w:val="002060"/>
                <w:sz w:val="20"/>
                <w:szCs w:val="20"/>
                <w:lang w:eastAsia="es-ES"/>
              </w:rPr>
              <w:t xml:space="preserve"> </w:t>
            </w:r>
            <w:r w:rsidR="008A6337" w:rsidRPr="009C60ED">
              <w:rPr>
                <w:rFonts w:eastAsia="Times New Roman" w:cs="Arial"/>
                <w:b/>
                <w:color w:val="002060"/>
                <w:sz w:val="20"/>
                <w:szCs w:val="20"/>
                <w:lang w:eastAsia="es-ES"/>
              </w:rPr>
              <w:t xml:space="preserve">- </w:t>
            </w:r>
            <w:r w:rsidR="00DD0C74" w:rsidRPr="009C60ED">
              <w:rPr>
                <w:color w:val="002060"/>
                <w:sz w:val="21"/>
                <w:szCs w:val="21"/>
              </w:rPr>
              <w:t>Actuaciones de mejora en el parque móvil de bomberos</w:t>
            </w:r>
          </w:p>
        </w:tc>
      </w:tr>
      <w:tr w:rsidR="008A6337" w:rsidRPr="00ED2103" w:rsidTr="000838DB">
        <w:trPr>
          <w:trHeight w:val="312"/>
        </w:trPr>
        <w:tc>
          <w:tcPr>
            <w:tcW w:w="4393" w:type="dxa"/>
            <w:shd w:val="clear" w:color="auto" w:fill="1F4E79" w:themeFill="accent1" w:themeFillShade="80"/>
            <w:vAlign w:val="center"/>
            <w:hideMark/>
          </w:tcPr>
          <w:p w:rsidR="008A6337" w:rsidRPr="00ED2103" w:rsidRDefault="008A6337"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381" w:type="dxa"/>
            <w:gridSpan w:val="7"/>
            <w:shd w:val="clear" w:color="auto" w:fill="1F4E79" w:themeFill="accent1" w:themeFillShade="80"/>
            <w:vAlign w:val="center"/>
            <w:hideMark/>
          </w:tcPr>
          <w:p w:rsidR="008A6337" w:rsidRPr="00ED2103" w:rsidRDefault="008A6337" w:rsidP="00FF2094">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381" w:type="dxa"/>
            <w:gridSpan w:val="7"/>
            <w:shd w:val="clear" w:color="auto" w:fill="auto"/>
            <w:vAlign w:val="center"/>
            <w:hideMark/>
          </w:tcPr>
          <w:p w:rsidR="008A6337" w:rsidRPr="00025352" w:rsidRDefault="008A6337" w:rsidP="00FF2094">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381" w:type="dxa"/>
            <w:gridSpan w:val="7"/>
            <w:shd w:val="clear" w:color="auto" w:fill="auto"/>
            <w:vAlign w:val="center"/>
            <w:hideMark/>
          </w:tcPr>
          <w:p w:rsidR="008A6337" w:rsidRPr="00ED2103" w:rsidRDefault="008A6337"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381" w:type="dxa"/>
            <w:gridSpan w:val="7"/>
            <w:shd w:val="clear" w:color="auto" w:fill="auto"/>
            <w:vAlign w:val="center"/>
            <w:hideMark/>
          </w:tcPr>
          <w:p w:rsidR="008A6337" w:rsidRPr="00ED2103" w:rsidRDefault="008A6337"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0838DB">
        <w:trPr>
          <w:trHeight w:val="312"/>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381" w:type="dxa"/>
            <w:gridSpan w:val="7"/>
            <w:shd w:val="clear" w:color="auto" w:fill="auto"/>
            <w:vAlign w:val="center"/>
            <w:hideMark/>
          </w:tcPr>
          <w:p w:rsidR="008A6337" w:rsidRPr="00ED2103" w:rsidRDefault="008A6337"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177E5" w:rsidRPr="00ED2103" w:rsidTr="000838DB">
        <w:trPr>
          <w:trHeight w:val="312"/>
        </w:trPr>
        <w:tc>
          <w:tcPr>
            <w:tcW w:w="4393" w:type="dxa"/>
            <w:shd w:val="clear" w:color="auto" w:fill="1F4E79" w:themeFill="accent1" w:themeFillShade="80"/>
            <w:vAlign w:val="center"/>
            <w:hideMark/>
          </w:tcPr>
          <w:p w:rsidR="00F177E5" w:rsidRPr="00ED2103" w:rsidRDefault="00F177E5"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381" w:type="dxa"/>
            <w:gridSpan w:val="7"/>
            <w:shd w:val="clear" w:color="auto" w:fill="1F4E79" w:themeFill="accent1" w:themeFillShade="80"/>
            <w:vAlign w:val="center"/>
            <w:hideMark/>
          </w:tcPr>
          <w:p w:rsidR="00F177E5" w:rsidRPr="00ED2103" w:rsidRDefault="00F177E5" w:rsidP="00FF2094">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712"/>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381" w:type="dxa"/>
            <w:gridSpan w:val="7"/>
            <w:shd w:val="clear" w:color="auto" w:fill="auto"/>
            <w:noWrap/>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381" w:type="dxa"/>
            <w:gridSpan w:val="7"/>
            <w:shd w:val="clear" w:color="auto" w:fill="auto"/>
            <w:noWrap/>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Se trata de una </w:t>
            </w:r>
            <w:r w:rsidR="00AE558F" w:rsidRPr="00AE558F">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generadora de ingresos (SI/NO)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La </w:t>
            </w:r>
            <w:r w:rsidR="00AE558F" w:rsidRPr="00AE558F">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incluye compra de terrenos (SI/NO)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476"/>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381" w:type="dxa"/>
            <w:gridSpan w:val="7"/>
            <w:shd w:val="clear" w:color="auto" w:fill="DEEAF6" w:themeFill="accent1" w:themeFillTint="33"/>
            <w:noWrap/>
            <w:vAlign w:val="center"/>
          </w:tcPr>
          <w:p w:rsidR="008A6337" w:rsidRPr="009C60ED" w:rsidRDefault="00AA38EA" w:rsidP="00FF2094">
            <w:pPr>
              <w:spacing w:after="0" w:line="240" w:lineRule="auto"/>
              <w:ind w:right="153"/>
              <w:jc w:val="both"/>
              <w:rPr>
                <w:rFonts w:eastAsia="Times New Roman" w:cs="Calibri"/>
                <w:color w:val="002060"/>
                <w:sz w:val="20"/>
                <w:szCs w:val="20"/>
                <w:lang w:eastAsia="es-ES"/>
              </w:rPr>
            </w:pPr>
            <w:r w:rsidRPr="009C60ED">
              <w:rPr>
                <w:rFonts w:eastAsia="Times New Roman" w:cs="Calibri"/>
                <w:color w:val="002060"/>
                <w:sz w:val="20"/>
                <w:szCs w:val="20"/>
                <w:lang w:eastAsia="es-ES"/>
              </w:rPr>
              <w:t xml:space="preserve">59 - Medidas de adaptación al cambio climático y prevención y gestión de riesgos relacionados con el clima: incendios (incluidas las acciones de sensibilización, la protección civil y los sistemas de gestión de catástrofes, las infraestructuras y los enfoques </w:t>
            </w:r>
            <w:proofErr w:type="spellStart"/>
            <w:r w:rsidRPr="009C60ED">
              <w:rPr>
                <w:rFonts w:eastAsia="Times New Roman" w:cs="Calibri"/>
                <w:color w:val="002060"/>
                <w:sz w:val="20"/>
                <w:szCs w:val="20"/>
                <w:lang w:eastAsia="es-ES"/>
              </w:rPr>
              <w:t>ecosistémicos</w:t>
            </w:r>
            <w:proofErr w:type="spellEnd"/>
            <w:r w:rsidRPr="009C60ED">
              <w:rPr>
                <w:rFonts w:eastAsia="Times New Roman" w:cs="Calibri"/>
                <w:color w:val="002060"/>
                <w:sz w:val="20"/>
                <w:szCs w:val="20"/>
                <w:lang w:eastAsia="es-ES"/>
              </w:rPr>
              <w:t>)</w:t>
            </w:r>
          </w:p>
        </w:tc>
      </w:tr>
      <w:tr w:rsidR="004B048F" w:rsidRPr="006C4A85" w:rsidTr="000838DB">
        <w:trPr>
          <w:trHeight w:val="394"/>
        </w:trPr>
        <w:tc>
          <w:tcPr>
            <w:tcW w:w="4393" w:type="dxa"/>
            <w:shd w:val="clear" w:color="auto" w:fill="1F4E79" w:themeFill="accent1" w:themeFillShade="80"/>
            <w:vAlign w:val="center"/>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MEDIO AMBIENTE Y CAMBIO CLIMÁTICO</w:t>
            </w:r>
          </w:p>
        </w:tc>
        <w:tc>
          <w:tcPr>
            <w:tcW w:w="2920" w:type="dxa"/>
            <w:gridSpan w:val="4"/>
            <w:shd w:val="clear" w:color="auto" w:fill="1F4E79" w:themeFill="accent1" w:themeFillShade="80"/>
            <w:vAlign w:val="center"/>
          </w:tcPr>
          <w:p w:rsidR="004B048F" w:rsidRPr="00ED2103" w:rsidRDefault="004B048F" w:rsidP="00FF2094">
            <w:pPr>
              <w:spacing w:after="0" w:line="240" w:lineRule="auto"/>
              <w:ind w:right="112"/>
              <w:jc w:val="center"/>
              <w:rPr>
                <w:rFonts w:eastAsia="Times New Roman" w:cs="Calibri"/>
                <w:b/>
                <w:bCs/>
                <w:color w:val="FFFFFF" w:themeColor="background1"/>
                <w:sz w:val="20"/>
                <w:szCs w:val="20"/>
                <w:lang w:eastAsia="es-ES"/>
              </w:rPr>
            </w:pPr>
          </w:p>
        </w:tc>
        <w:tc>
          <w:tcPr>
            <w:tcW w:w="3461" w:type="dxa"/>
            <w:gridSpan w:val="3"/>
            <w:shd w:val="clear" w:color="auto" w:fill="1F4E79" w:themeFill="accent1" w:themeFillShade="80"/>
            <w:vAlign w:val="center"/>
          </w:tcPr>
          <w:p w:rsidR="004B048F" w:rsidRPr="006C4A85" w:rsidRDefault="004B048F" w:rsidP="00FF2094">
            <w:pPr>
              <w:spacing w:after="0" w:line="240" w:lineRule="auto"/>
              <w:ind w:right="112"/>
              <w:jc w:val="both"/>
              <w:rPr>
                <w:rFonts w:eastAsia="Times New Roman" w:cs="Calibri"/>
                <w:b/>
                <w:bCs/>
                <w:color w:val="FFFFFF" w:themeColor="background1"/>
                <w:sz w:val="20"/>
                <w:szCs w:val="20"/>
                <w:lang w:eastAsia="es-ES"/>
              </w:rPr>
            </w:pPr>
          </w:p>
        </w:tc>
      </w:tr>
      <w:tr w:rsidR="00803F61" w:rsidRPr="004B048F" w:rsidTr="000838DB">
        <w:trPr>
          <w:trHeight w:val="312"/>
        </w:trPr>
        <w:tc>
          <w:tcPr>
            <w:tcW w:w="4393" w:type="dxa"/>
            <w:shd w:val="clear" w:color="auto" w:fill="DEEAF6" w:themeFill="accent1" w:themeFillTint="33"/>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381" w:type="dxa"/>
            <w:gridSpan w:val="7"/>
            <w:shd w:val="clear" w:color="auto" w:fill="auto"/>
            <w:vAlign w:val="center"/>
            <w:hideMark/>
          </w:tcPr>
          <w:p w:rsidR="00803F61" w:rsidRPr="004B048F" w:rsidRDefault="00803F61" w:rsidP="00FF2094">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803F61" w:rsidRPr="00ED2103" w:rsidTr="000838DB">
        <w:trPr>
          <w:trHeight w:val="476"/>
        </w:trPr>
        <w:tc>
          <w:tcPr>
            <w:tcW w:w="4393" w:type="dxa"/>
            <w:shd w:val="clear" w:color="auto" w:fill="DEEAF6" w:themeFill="accent1" w:themeFillTint="33"/>
            <w:noWrap/>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381" w:type="dxa"/>
            <w:gridSpan w:val="7"/>
            <w:shd w:val="clear" w:color="auto" w:fill="auto"/>
            <w:noWrap/>
            <w:vAlign w:val="center"/>
            <w:hideMark/>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ED2103" w:rsidTr="000838DB">
        <w:trPr>
          <w:trHeight w:val="604"/>
        </w:trPr>
        <w:tc>
          <w:tcPr>
            <w:tcW w:w="4393" w:type="dxa"/>
            <w:shd w:val="clear" w:color="auto" w:fill="DEEAF6" w:themeFill="accent1" w:themeFillTint="33"/>
            <w:noWrap/>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381" w:type="dxa"/>
            <w:gridSpan w:val="7"/>
            <w:shd w:val="clear" w:color="auto" w:fill="auto"/>
            <w:noWrap/>
            <w:vAlign w:val="center"/>
            <w:hideMark/>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96627F" w:rsidTr="000838DB">
        <w:trPr>
          <w:trHeight w:val="385"/>
        </w:trPr>
        <w:tc>
          <w:tcPr>
            <w:tcW w:w="4393" w:type="dxa"/>
            <w:shd w:val="clear" w:color="auto" w:fill="DEEAF6" w:themeFill="accent1" w:themeFillTint="33"/>
            <w:vAlign w:val="center"/>
          </w:tcPr>
          <w:p w:rsidR="00803F61" w:rsidRPr="00C213B4" w:rsidRDefault="00803F61"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381" w:type="dxa"/>
            <w:gridSpan w:val="7"/>
            <w:shd w:val="clear" w:color="auto" w:fill="auto"/>
            <w:noWrap/>
            <w:vAlign w:val="center"/>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ED2103" w:rsidTr="000838DB">
        <w:trPr>
          <w:trHeight w:val="450"/>
        </w:trPr>
        <w:tc>
          <w:tcPr>
            <w:tcW w:w="4393" w:type="dxa"/>
            <w:tcBorders>
              <w:bottom w:val="single" w:sz="4" w:space="0" w:color="002060"/>
            </w:tcBorders>
            <w:shd w:val="clear" w:color="auto" w:fill="DEEAF6" w:themeFill="accent1" w:themeFillTint="33"/>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381" w:type="dxa"/>
            <w:gridSpan w:val="7"/>
            <w:tcBorders>
              <w:bottom w:val="single" w:sz="4" w:space="0" w:color="002060"/>
            </w:tcBorders>
            <w:shd w:val="clear" w:color="auto" w:fill="auto"/>
            <w:noWrap/>
            <w:vAlign w:val="center"/>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ED2103" w:rsidTr="000838DB">
        <w:trPr>
          <w:trHeight w:val="729"/>
        </w:trPr>
        <w:tc>
          <w:tcPr>
            <w:tcW w:w="43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803F61" w:rsidRPr="00C213B4" w:rsidRDefault="000940B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381" w:type="dxa"/>
            <w:gridSpan w:val="7"/>
            <w:tcBorders>
              <w:top w:val="single" w:sz="4" w:space="0" w:color="002060"/>
              <w:left w:val="single" w:sz="4" w:space="0" w:color="002060"/>
              <w:bottom w:val="single" w:sz="4" w:space="0" w:color="002060"/>
              <w:right w:val="single" w:sz="4" w:space="0" w:color="002060"/>
            </w:tcBorders>
            <w:shd w:val="clear" w:color="auto" w:fill="auto"/>
            <w:noWrap/>
            <w:vAlign w:val="center"/>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AA38EA" w:rsidRPr="00AA38EA" w:rsidTr="000838DB">
        <w:trPr>
          <w:trHeight w:val="477"/>
        </w:trPr>
        <w:tc>
          <w:tcPr>
            <w:tcW w:w="10774" w:type="dxa"/>
            <w:gridSpan w:val="8"/>
            <w:shd w:val="clear" w:color="auto" w:fill="1F4E79" w:themeFill="accent1" w:themeFillShade="80"/>
            <w:vAlign w:val="center"/>
            <w:hideMark/>
          </w:tcPr>
          <w:p w:rsidR="004F1880" w:rsidRPr="006D7D27" w:rsidRDefault="004F1880" w:rsidP="00FF2094">
            <w:pPr>
              <w:spacing w:after="0" w:line="240" w:lineRule="auto"/>
              <w:ind w:right="112"/>
              <w:jc w:val="both"/>
              <w:rPr>
                <w:rFonts w:eastAsia="Times New Roman" w:cs="Calibri"/>
                <w:b/>
                <w:color w:val="2E74B5" w:themeColor="accent1" w:themeShade="BF"/>
                <w:sz w:val="20"/>
                <w:szCs w:val="20"/>
                <w:lang w:eastAsia="es-ES"/>
              </w:rPr>
            </w:pPr>
            <w:r w:rsidRPr="006D7D27">
              <w:rPr>
                <w:rFonts w:eastAsia="Times New Roman" w:cs="Calibri"/>
                <w:b/>
                <w:bCs/>
                <w:color w:val="FFFFFF" w:themeColor="background1"/>
                <w:sz w:val="20"/>
                <w:szCs w:val="20"/>
                <w:lang w:eastAsia="es-ES"/>
              </w:rPr>
              <w:t xml:space="preserve">CAMBIO CLIMÁTICO  </w:t>
            </w:r>
            <w:r w:rsidRPr="006D7D27">
              <w:rPr>
                <w:rFonts w:eastAsia="Times New Roman" w:cs="Calibri"/>
                <w:b/>
                <w:color w:val="FFFFFF" w:themeColor="background1"/>
                <w:sz w:val="20"/>
                <w:szCs w:val="20"/>
                <w:lang w:eastAsia="es-ES"/>
              </w:rPr>
              <w:t>infraestructuras cuya vida útil sea como mínimo de cinco años</w:t>
            </w:r>
          </w:p>
        </w:tc>
      </w:tr>
      <w:tr w:rsidR="006D7D27" w:rsidRPr="00ED2103" w:rsidTr="000838DB">
        <w:trPr>
          <w:trHeight w:val="312"/>
        </w:trPr>
        <w:tc>
          <w:tcPr>
            <w:tcW w:w="4393" w:type="dxa"/>
            <w:shd w:val="clear" w:color="auto" w:fill="DEEAF6" w:themeFill="accent1" w:themeFillTint="33"/>
            <w:vAlign w:val="center"/>
            <w:hideMark/>
          </w:tcPr>
          <w:p w:rsidR="006D7D27" w:rsidRPr="00615223" w:rsidRDefault="006D7D27" w:rsidP="00FF2094">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afecta a la emisión de gases GEI (mitigación)?</w:t>
            </w:r>
          </w:p>
        </w:tc>
        <w:tc>
          <w:tcPr>
            <w:tcW w:w="6381" w:type="dxa"/>
            <w:gridSpan w:val="7"/>
            <w:shd w:val="clear" w:color="auto" w:fill="auto"/>
            <w:vAlign w:val="center"/>
          </w:tcPr>
          <w:p w:rsidR="006D7D27" w:rsidRPr="00E17EF6" w:rsidRDefault="006D7D27" w:rsidP="00FF2094">
            <w:pPr>
              <w:spacing w:after="0" w:line="240" w:lineRule="auto"/>
              <w:ind w:right="112"/>
              <w:jc w:val="both"/>
              <w:rPr>
                <w:rFonts w:eastAsia="Times New Roman" w:cs="Calibri"/>
                <w:color w:val="002060"/>
                <w:sz w:val="20"/>
                <w:szCs w:val="20"/>
                <w:lang w:eastAsia="es-ES"/>
              </w:rPr>
            </w:pPr>
          </w:p>
        </w:tc>
      </w:tr>
      <w:tr w:rsidR="006D7D27" w:rsidRPr="00ED2103" w:rsidTr="000838DB">
        <w:trPr>
          <w:trHeight w:val="220"/>
        </w:trPr>
        <w:tc>
          <w:tcPr>
            <w:tcW w:w="4393" w:type="dxa"/>
            <w:shd w:val="clear" w:color="auto" w:fill="DEEAF6" w:themeFill="accent1" w:themeFillTint="33"/>
            <w:noWrap/>
            <w:vAlign w:val="center"/>
          </w:tcPr>
          <w:p w:rsidR="006D7D27" w:rsidRPr="00615223" w:rsidRDefault="006D7D27" w:rsidP="00FF2094">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podría presentar riesgos de exposición y vulnerabilidad al cambio climático? (adaptación)</w:t>
            </w:r>
          </w:p>
        </w:tc>
        <w:tc>
          <w:tcPr>
            <w:tcW w:w="6381" w:type="dxa"/>
            <w:gridSpan w:val="7"/>
            <w:shd w:val="clear" w:color="auto" w:fill="auto"/>
            <w:noWrap/>
            <w:vAlign w:val="center"/>
          </w:tcPr>
          <w:p w:rsidR="006D7D27" w:rsidRPr="00E17EF6" w:rsidRDefault="006D7D27" w:rsidP="00FF2094">
            <w:pPr>
              <w:spacing w:after="0" w:line="240" w:lineRule="auto"/>
              <w:ind w:right="112"/>
              <w:jc w:val="both"/>
              <w:rPr>
                <w:rFonts w:eastAsia="Times New Roman" w:cs="Calibri"/>
                <w:color w:val="002060"/>
                <w:sz w:val="20"/>
                <w:szCs w:val="20"/>
                <w:lang w:eastAsia="es-ES"/>
              </w:rPr>
            </w:pPr>
          </w:p>
        </w:tc>
      </w:tr>
      <w:tr w:rsidR="004B048F" w:rsidRPr="00ED2103" w:rsidTr="000838DB">
        <w:trPr>
          <w:trHeight w:val="299"/>
        </w:trPr>
        <w:tc>
          <w:tcPr>
            <w:tcW w:w="4393" w:type="dxa"/>
            <w:shd w:val="clear" w:color="auto" w:fill="1F4E79" w:themeFill="accent1" w:themeFillShade="80"/>
            <w:noWrap/>
            <w:vAlign w:val="center"/>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2967" w:type="dxa"/>
            <w:gridSpan w:val="5"/>
            <w:shd w:val="clear" w:color="auto" w:fill="1F4E79" w:themeFill="accent1" w:themeFillShade="80"/>
            <w:noWrap/>
            <w:vAlign w:val="center"/>
            <w:hideMark/>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3414" w:type="dxa"/>
            <w:gridSpan w:val="2"/>
            <w:shd w:val="clear" w:color="auto" w:fill="1F4E79" w:themeFill="accent1" w:themeFillShade="80"/>
            <w:noWrap/>
            <w:vAlign w:val="center"/>
            <w:hideMark/>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EVIDENCIAS</w:t>
            </w:r>
          </w:p>
        </w:tc>
      </w:tr>
      <w:tr w:rsidR="006D7D27" w:rsidRPr="00ED2103" w:rsidTr="000838DB">
        <w:trPr>
          <w:trHeight w:val="756"/>
        </w:trPr>
        <w:tc>
          <w:tcPr>
            <w:tcW w:w="4393" w:type="dxa"/>
            <w:shd w:val="clear" w:color="auto" w:fill="DEEAF6" w:themeFill="accent1" w:themeFillTint="33"/>
            <w:noWrap/>
            <w:vAlign w:val="center"/>
          </w:tcPr>
          <w:p w:rsidR="006D7D27" w:rsidRPr="009529D2" w:rsidRDefault="006D7D27" w:rsidP="00FF2094">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381" w:type="dxa"/>
            <w:gridSpan w:val="7"/>
            <w:shd w:val="clear" w:color="auto" w:fill="auto"/>
            <w:noWrap/>
            <w:vAlign w:val="center"/>
          </w:tcPr>
          <w:p w:rsidR="006D7D27" w:rsidRPr="00ED2103" w:rsidRDefault="006D7D27" w:rsidP="00FF2094">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6D7D27" w:rsidRPr="00ED2103" w:rsidTr="000838DB">
        <w:trPr>
          <w:trHeight w:val="809"/>
        </w:trPr>
        <w:tc>
          <w:tcPr>
            <w:tcW w:w="4393" w:type="dxa"/>
            <w:shd w:val="clear" w:color="auto" w:fill="DEEAF6" w:themeFill="accent1" w:themeFillTint="33"/>
            <w:noWrap/>
            <w:vAlign w:val="center"/>
          </w:tcPr>
          <w:p w:rsidR="006D7D27" w:rsidRPr="009529D2" w:rsidRDefault="00803F61" w:rsidP="00FF2094">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381" w:type="dxa"/>
            <w:gridSpan w:val="7"/>
            <w:shd w:val="clear" w:color="auto" w:fill="auto"/>
            <w:noWrap/>
            <w:vAlign w:val="center"/>
          </w:tcPr>
          <w:p w:rsidR="006D7D27" w:rsidRPr="00ED2103" w:rsidRDefault="006D7D27" w:rsidP="00FF2094">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610EB8" w:rsidRPr="0096627F" w:rsidTr="000838DB">
        <w:trPr>
          <w:trHeight w:val="483"/>
        </w:trPr>
        <w:tc>
          <w:tcPr>
            <w:tcW w:w="10774" w:type="dxa"/>
            <w:gridSpan w:val="8"/>
            <w:shd w:val="clear" w:color="auto" w:fill="1F4E79" w:themeFill="accent1" w:themeFillShade="80"/>
            <w:vAlign w:val="center"/>
          </w:tcPr>
          <w:p w:rsidR="00610EB8" w:rsidRPr="0096627F" w:rsidRDefault="00610EB8" w:rsidP="00FF2094">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lastRenderedPageBreak/>
              <w:t>PREVISIÓN INDICADORES</w:t>
            </w:r>
          </w:p>
        </w:tc>
      </w:tr>
      <w:tr w:rsidR="00610EB8" w:rsidRPr="0096627F" w:rsidTr="000838DB">
        <w:trPr>
          <w:trHeight w:val="385"/>
        </w:trPr>
        <w:tc>
          <w:tcPr>
            <w:tcW w:w="4393" w:type="dxa"/>
            <w:shd w:val="clear" w:color="auto" w:fill="1F4E79" w:themeFill="accent1" w:themeFillShade="80"/>
            <w:vAlign w:val="center"/>
          </w:tcPr>
          <w:p w:rsidR="00610EB8" w:rsidRPr="0096627F" w:rsidRDefault="00610EB8" w:rsidP="00FF2094">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realización</w:t>
            </w:r>
          </w:p>
        </w:tc>
        <w:tc>
          <w:tcPr>
            <w:tcW w:w="3545" w:type="dxa"/>
            <w:gridSpan w:val="6"/>
            <w:shd w:val="clear" w:color="auto" w:fill="1F4E79" w:themeFill="accent1" w:themeFillShade="80"/>
            <w:noWrap/>
            <w:vAlign w:val="center"/>
          </w:tcPr>
          <w:p w:rsidR="00610EB8" w:rsidRPr="0096627F" w:rsidRDefault="00610EB8" w:rsidP="00FF2094">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836" w:type="dxa"/>
            <w:shd w:val="clear" w:color="auto" w:fill="1F4E79" w:themeFill="accent1" w:themeFillShade="80"/>
            <w:vAlign w:val="center"/>
          </w:tcPr>
          <w:p w:rsidR="00610EB8" w:rsidRPr="0096627F" w:rsidRDefault="00610EB8" w:rsidP="00FF2094">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610EB8" w:rsidRPr="00ED2103" w:rsidTr="000838DB">
        <w:trPr>
          <w:trHeight w:val="428"/>
        </w:trPr>
        <w:tc>
          <w:tcPr>
            <w:tcW w:w="4393" w:type="dxa"/>
            <w:tcBorders>
              <w:bottom w:val="single" w:sz="4" w:space="0" w:color="002060"/>
            </w:tcBorders>
            <w:shd w:val="clear" w:color="auto" w:fill="DEEAF6" w:themeFill="accent1" w:themeFillTint="33"/>
            <w:vAlign w:val="center"/>
            <w:hideMark/>
          </w:tcPr>
          <w:p w:rsidR="00610EB8" w:rsidRPr="00822B21" w:rsidRDefault="00610EB8" w:rsidP="00FF2094">
            <w:pPr>
              <w:spacing w:after="0" w:line="240" w:lineRule="auto"/>
              <w:jc w:val="both"/>
              <w:rPr>
                <w:rFonts w:eastAsia="Times New Roman" w:cs="Calibri"/>
                <w:color w:val="002060"/>
                <w:sz w:val="20"/>
                <w:szCs w:val="20"/>
                <w:lang w:eastAsia="es-ES"/>
              </w:rPr>
            </w:pPr>
            <w:r>
              <w:rPr>
                <w:rFonts w:eastAsia="Times New Roman" w:cs="Calibri"/>
                <w:b/>
                <w:color w:val="002060"/>
                <w:sz w:val="20"/>
                <w:szCs w:val="20"/>
                <w:lang w:eastAsia="es-ES"/>
              </w:rPr>
              <w:t xml:space="preserve">RCO28: </w:t>
            </w:r>
            <w:r w:rsidRPr="00B85A58">
              <w:rPr>
                <w:rFonts w:eastAsia="Times New Roman" w:cs="Calibri"/>
                <w:color w:val="002060"/>
                <w:sz w:val="20"/>
                <w:szCs w:val="20"/>
                <w:lang w:eastAsia="es-ES"/>
              </w:rPr>
              <w:t>Zona cubierta por las medidas de protección frente a los incendios forestales</w:t>
            </w:r>
            <w:r>
              <w:rPr>
                <w:rFonts w:eastAsia="Times New Roman" w:cs="Calibri"/>
                <w:color w:val="002060"/>
                <w:sz w:val="20"/>
                <w:szCs w:val="20"/>
                <w:lang w:eastAsia="es-ES"/>
              </w:rPr>
              <w:t>.</w:t>
            </w:r>
          </w:p>
        </w:tc>
        <w:tc>
          <w:tcPr>
            <w:tcW w:w="3545" w:type="dxa"/>
            <w:gridSpan w:val="6"/>
            <w:tcBorders>
              <w:bottom w:val="single" w:sz="4" w:space="0" w:color="002060"/>
            </w:tcBorders>
            <w:shd w:val="clear" w:color="auto" w:fill="DEEAF6" w:themeFill="accent1" w:themeFillTint="33"/>
            <w:noWrap/>
            <w:vAlign w:val="center"/>
          </w:tcPr>
          <w:p w:rsidR="00610EB8" w:rsidRPr="009307BA" w:rsidRDefault="00610EB8" w:rsidP="00FF2094">
            <w:pPr>
              <w:spacing w:after="0" w:line="240" w:lineRule="auto"/>
              <w:jc w:val="both"/>
              <w:rPr>
                <w:rFonts w:eastAsia="Times New Roman" w:cstheme="minorHAnsi"/>
                <w:color w:val="002060"/>
                <w:sz w:val="20"/>
                <w:szCs w:val="20"/>
                <w:lang w:eastAsia="es-ES"/>
              </w:rPr>
            </w:pPr>
            <w:r w:rsidRPr="00271A46">
              <w:rPr>
                <w:rFonts w:eastAsia="Times New Roman" w:cstheme="minorHAnsi"/>
                <w:color w:val="002060"/>
                <w:sz w:val="20"/>
                <w:szCs w:val="20"/>
                <w:lang w:eastAsia="es-ES"/>
              </w:rPr>
              <w:t>Hectáreas</w:t>
            </w:r>
          </w:p>
        </w:tc>
        <w:tc>
          <w:tcPr>
            <w:tcW w:w="2836" w:type="dxa"/>
            <w:tcBorders>
              <w:bottom w:val="single" w:sz="4" w:space="0" w:color="002060"/>
            </w:tcBorders>
            <w:shd w:val="clear" w:color="auto" w:fill="auto"/>
            <w:vAlign w:val="center"/>
          </w:tcPr>
          <w:p w:rsidR="00610EB8" w:rsidRPr="002C3F94" w:rsidRDefault="00610EB8" w:rsidP="00FF2094">
            <w:pPr>
              <w:spacing w:after="0" w:line="240" w:lineRule="auto"/>
              <w:ind w:right="709"/>
              <w:jc w:val="right"/>
              <w:rPr>
                <w:rFonts w:eastAsia="Times New Roman" w:cstheme="minorHAnsi"/>
                <w:b/>
                <w:color w:val="002060"/>
                <w:sz w:val="20"/>
                <w:szCs w:val="20"/>
                <w:lang w:eastAsia="es-ES"/>
              </w:rPr>
            </w:pPr>
          </w:p>
        </w:tc>
      </w:tr>
      <w:tr w:rsidR="003D7A3E" w:rsidRPr="0096627F" w:rsidTr="000838DB">
        <w:trPr>
          <w:trHeight w:val="385"/>
        </w:trPr>
        <w:tc>
          <w:tcPr>
            <w:tcW w:w="4393" w:type="dxa"/>
            <w:shd w:val="clear" w:color="auto" w:fill="1F4E79" w:themeFill="accent1" w:themeFillShade="80"/>
            <w:vAlign w:val="center"/>
          </w:tcPr>
          <w:p w:rsidR="003D7A3E" w:rsidRPr="0096627F" w:rsidRDefault="003D7A3E"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993" w:type="dxa"/>
            <w:shd w:val="clear" w:color="auto" w:fill="1F4E79" w:themeFill="accent1" w:themeFillShade="80"/>
            <w:noWrap/>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708" w:type="dxa"/>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851" w:type="dxa"/>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bookmarkStart w:id="0" w:name="_GoBack"/>
            <w:bookmarkEnd w:id="0"/>
          </w:p>
        </w:tc>
        <w:tc>
          <w:tcPr>
            <w:tcW w:w="993" w:type="dxa"/>
            <w:gridSpan w:val="3"/>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836" w:type="dxa"/>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3D7A3E" w:rsidRPr="00ED2103" w:rsidTr="000838DB">
        <w:trPr>
          <w:trHeight w:val="545"/>
        </w:trPr>
        <w:tc>
          <w:tcPr>
            <w:tcW w:w="43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3D7A3E" w:rsidRPr="00136F66" w:rsidRDefault="003D7A3E" w:rsidP="003D7A3E">
            <w:pPr>
              <w:spacing w:after="0" w:line="240" w:lineRule="auto"/>
              <w:jc w:val="both"/>
              <w:rPr>
                <w:rFonts w:eastAsia="Times New Roman" w:cstheme="minorHAnsi"/>
                <w:color w:val="002060"/>
                <w:sz w:val="20"/>
                <w:szCs w:val="20"/>
                <w:lang w:eastAsia="es-ES"/>
              </w:rPr>
            </w:pPr>
            <w:r w:rsidRPr="003D7A3E">
              <w:rPr>
                <w:rFonts w:eastAsia="Times New Roman" w:cstheme="minorHAnsi"/>
                <w:b/>
                <w:color w:val="002060"/>
                <w:sz w:val="20"/>
                <w:szCs w:val="20"/>
                <w:lang w:eastAsia="es-ES"/>
              </w:rPr>
              <w:t xml:space="preserve">RCR 36: </w:t>
            </w:r>
            <w:r w:rsidRPr="003122F6">
              <w:rPr>
                <w:rFonts w:eastAsia="Times New Roman" w:cstheme="minorHAnsi"/>
                <w:color w:val="002060"/>
                <w:sz w:val="20"/>
                <w:szCs w:val="20"/>
                <w:lang w:eastAsia="es-ES"/>
              </w:rPr>
              <w:t>Población que se beneficia de la protección frente a los incendios forestales</w:t>
            </w:r>
          </w:p>
        </w:tc>
        <w:tc>
          <w:tcPr>
            <w:tcW w:w="9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3D7A3E" w:rsidRPr="009307BA" w:rsidRDefault="003D7A3E"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708" w:type="dxa"/>
            <w:tcBorders>
              <w:top w:val="single" w:sz="4" w:space="0" w:color="002060"/>
              <w:left w:val="single" w:sz="4" w:space="0" w:color="002060"/>
              <w:bottom w:val="single" w:sz="4" w:space="0" w:color="002060"/>
              <w:right w:val="single" w:sz="4" w:space="0" w:color="002060"/>
            </w:tcBorders>
            <w:shd w:val="clear" w:color="auto" w:fill="auto"/>
            <w:vAlign w:val="center"/>
          </w:tcPr>
          <w:p w:rsidR="003D7A3E" w:rsidRPr="00695E1C" w:rsidRDefault="003D7A3E" w:rsidP="00773CB1">
            <w:pPr>
              <w:spacing w:after="0" w:line="240" w:lineRule="auto"/>
              <w:jc w:val="center"/>
              <w:rPr>
                <w:rFonts w:eastAsia="Times New Roman" w:cstheme="minorHAnsi"/>
                <w:color w:val="002060"/>
                <w:sz w:val="20"/>
                <w:szCs w:val="20"/>
                <w:lang w:eastAsia="es-ES"/>
              </w:rPr>
            </w:pPr>
          </w:p>
        </w:tc>
        <w:tc>
          <w:tcPr>
            <w:tcW w:w="851" w:type="dxa"/>
            <w:tcBorders>
              <w:top w:val="single" w:sz="4" w:space="0" w:color="002060"/>
              <w:left w:val="single" w:sz="4" w:space="0" w:color="002060"/>
              <w:bottom w:val="single" w:sz="4" w:space="0" w:color="002060"/>
              <w:right w:val="single" w:sz="4" w:space="0" w:color="002060"/>
            </w:tcBorders>
            <w:shd w:val="clear" w:color="auto" w:fill="auto"/>
            <w:vAlign w:val="center"/>
          </w:tcPr>
          <w:p w:rsidR="003D7A3E" w:rsidRPr="00695E1C" w:rsidRDefault="003D7A3E" w:rsidP="00773CB1">
            <w:pPr>
              <w:spacing w:after="0" w:line="240" w:lineRule="auto"/>
              <w:jc w:val="right"/>
              <w:rPr>
                <w:rFonts w:eastAsia="Times New Roman" w:cstheme="minorHAnsi"/>
                <w:color w:val="002060"/>
                <w:sz w:val="20"/>
                <w:szCs w:val="20"/>
                <w:lang w:eastAsia="es-ES"/>
              </w:rPr>
            </w:pPr>
          </w:p>
        </w:tc>
        <w:tc>
          <w:tcPr>
            <w:tcW w:w="993"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3D7A3E" w:rsidRPr="00695E1C" w:rsidRDefault="003D7A3E" w:rsidP="00773CB1">
            <w:pPr>
              <w:spacing w:after="0" w:line="240" w:lineRule="auto"/>
              <w:ind w:right="709"/>
              <w:jc w:val="right"/>
              <w:rPr>
                <w:rFonts w:eastAsia="Times New Roman" w:cstheme="minorHAnsi"/>
                <w:color w:val="002060"/>
                <w:sz w:val="20"/>
                <w:szCs w:val="20"/>
                <w:lang w:eastAsia="es-ES"/>
              </w:rPr>
            </w:pPr>
          </w:p>
        </w:tc>
        <w:tc>
          <w:tcPr>
            <w:tcW w:w="2836"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3D7A3E" w:rsidRPr="00695E1C" w:rsidRDefault="003D7A3E" w:rsidP="00773CB1">
            <w:pPr>
              <w:spacing w:after="0" w:line="240" w:lineRule="auto"/>
              <w:ind w:right="128"/>
              <w:jc w:val="both"/>
              <w:rPr>
                <w:rFonts w:eastAsia="Times New Roman" w:cstheme="minorHAnsi"/>
                <w:color w:val="002060"/>
                <w:sz w:val="20"/>
                <w:szCs w:val="20"/>
                <w:lang w:eastAsia="es-ES"/>
              </w:rPr>
            </w:pPr>
            <w:r w:rsidRPr="00D74A64">
              <w:rPr>
                <w:rFonts w:eastAsia="Times New Roman" w:cstheme="minorHAnsi"/>
                <w:color w:val="002060"/>
                <w:sz w:val="20"/>
                <w:szCs w:val="20"/>
                <w:lang w:eastAsia="es-ES"/>
              </w:rPr>
              <w:t>No precisa ni año base ni valor base.</w:t>
            </w:r>
          </w:p>
        </w:tc>
      </w:tr>
      <w:tr w:rsidR="004B048F" w:rsidRPr="00ED2103" w:rsidTr="000838DB">
        <w:trPr>
          <w:trHeight w:val="459"/>
        </w:trPr>
        <w:tc>
          <w:tcPr>
            <w:tcW w:w="4393"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CRITERIOS DE ELEGIBILIDAD</w:t>
            </w:r>
          </w:p>
        </w:tc>
        <w:tc>
          <w:tcPr>
            <w:tcW w:w="3545" w:type="dxa"/>
            <w:gridSpan w:val="6"/>
            <w:shd w:val="clear" w:color="auto" w:fill="1F4E79" w:themeFill="accent1" w:themeFillShade="80"/>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JUSTIFICACIONES</w:t>
            </w:r>
          </w:p>
        </w:tc>
        <w:tc>
          <w:tcPr>
            <w:tcW w:w="2836"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EVIDENCIAS</w:t>
            </w:r>
          </w:p>
        </w:tc>
      </w:tr>
      <w:tr w:rsidR="0078328E" w:rsidRPr="00ED2103" w:rsidTr="000838DB">
        <w:trPr>
          <w:trHeight w:val="45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Las actuaciones del Objetivo Específico 2.4 están sujetas al cumplimiento de la Condición Favorecedora 2.4 “Marco eficaz de gestión del riesgo de catástrofes “de acuerdo con lo establecido en el Reglamento (UE) 2021/1060 del Parlamento Europeo y del Consejo. En base a ello, las operaciones seleccionadas en el OE 2.4, deben ser coherentes las estrategias y planes que dan cumplimiento a esta Condición favorecedora.</w:t>
            </w:r>
          </w:p>
        </w:tc>
        <w:tc>
          <w:tcPr>
            <w:tcW w:w="3545" w:type="dxa"/>
            <w:gridSpan w:val="6"/>
            <w:shd w:val="clear" w:color="auto" w:fill="auto"/>
            <w:vAlign w:val="center"/>
          </w:tcPr>
          <w:p w:rsidR="0078328E" w:rsidRPr="002864CD" w:rsidRDefault="0078328E" w:rsidP="00FF2094">
            <w:pPr>
              <w:spacing w:line="240" w:lineRule="auto"/>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Dentro de este objetivo específico se podrán financiar actuaciones de adaptación frente al cambio climático, priorizando las actuaciones que tengan un enfoque preventivo, preferentemente a través de soluciones basadas en la naturaleza. Se evitará infraestructura gris en la medida que las condiciones climáticas, demográficas o ambientales lo permitan.</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Se reforzarán las actuaciones de preparación y respuesta necesarias para abordar de una manera integral la gest</w:t>
            </w:r>
            <w:r>
              <w:rPr>
                <w:rFonts w:cs="Calibri"/>
                <w:color w:val="002060"/>
                <w:sz w:val="20"/>
                <w:szCs w:val="20"/>
              </w:rPr>
              <w:t xml:space="preserve">ión de los riesgos prioritarios </w:t>
            </w:r>
            <w:r w:rsidRPr="006D0A22">
              <w:rPr>
                <w:rFonts w:cs="Calibri"/>
                <w:color w:val="002060"/>
                <w:sz w:val="20"/>
                <w:szCs w:val="20"/>
              </w:rPr>
              <w:t>identificados,</w:t>
            </w:r>
            <w:r>
              <w:rPr>
                <w:rFonts w:cs="Calibri"/>
                <w:color w:val="002060"/>
                <w:sz w:val="20"/>
                <w:szCs w:val="20"/>
              </w:rPr>
              <w:t xml:space="preserve"> </w:t>
            </w:r>
            <w:r w:rsidRPr="006D0A22">
              <w:rPr>
                <w:rFonts w:cs="Calibri"/>
                <w:color w:val="002060"/>
                <w:sz w:val="20"/>
                <w:szCs w:val="20"/>
              </w:rPr>
              <w:t>fundamentalmente avenidas e inundaciones, sequías e incendios.</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Las actuaciones que se realizarán en puertos estarán integradas en el Plan de adaptación al cambio climático de los puertos autonómicos del Principado de Asturias.</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Cualquier inversión incluida en esta actuación estará en línea con los Planes Hidrológicos del tercer ciclo de planificación 2022-2027, y atenderá en la medida de lo posible, a las recomendaciones para cada Estado Miembro en el marco de la planificación de Planes Hidrológicos.</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4B048F" w:rsidRPr="00ED2103" w:rsidTr="000838DB">
        <w:trPr>
          <w:trHeight w:val="329"/>
        </w:trPr>
        <w:tc>
          <w:tcPr>
            <w:tcW w:w="4393"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DNSH</w:t>
            </w:r>
          </w:p>
        </w:tc>
        <w:tc>
          <w:tcPr>
            <w:tcW w:w="3545" w:type="dxa"/>
            <w:gridSpan w:val="6"/>
            <w:shd w:val="clear" w:color="auto" w:fill="1F4E79" w:themeFill="accent1" w:themeFillShade="80"/>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JUSTIFICACIONES</w:t>
            </w:r>
          </w:p>
        </w:tc>
        <w:tc>
          <w:tcPr>
            <w:tcW w:w="2836"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EVIDENCIAS</w:t>
            </w:r>
          </w:p>
        </w:tc>
      </w:tr>
      <w:tr w:rsidR="007F6114" w:rsidRPr="00FF2094" w:rsidTr="000838DB">
        <w:trPr>
          <w:trHeight w:val="187"/>
        </w:trPr>
        <w:tc>
          <w:tcPr>
            <w:tcW w:w="4393" w:type="dxa"/>
            <w:shd w:val="clear" w:color="auto" w:fill="DEEAF6" w:themeFill="accent1" w:themeFillTint="33"/>
            <w:noWrap/>
          </w:tcPr>
          <w:p w:rsidR="00723212" w:rsidRDefault="007F6114" w:rsidP="00723212">
            <w:pPr>
              <w:spacing w:after="0" w:line="240" w:lineRule="auto"/>
              <w:jc w:val="both"/>
              <w:rPr>
                <w:rFonts w:cs="Calibri"/>
                <w:b/>
                <w:bCs/>
                <w:i/>
                <w:iCs/>
                <w:color w:val="002060"/>
                <w:sz w:val="20"/>
                <w:szCs w:val="20"/>
              </w:rPr>
            </w:pPr>
            <w:r>
              <w:rPr>
                <w:rFonts w:cs="Calibri"/>
                <w:b/>
                <w:bCs/>
                <w:i/>
                <w:iCs/>
                <w:color w:val="002060"/>
                <w:sz w:val="20"/>
                <w:szCs w:val="20"/>
              </w:rPr>
              <w:t>Mitigación del cambio climático</w:t>
            </w:r>
            <w:r w:rsidR="00723212">
              <w:rPr>
                <w:rFonts w:cs="Calibri"/>
                <w:b/>
                <w:bCs/>
                <w:i/>
                <w:iCs/>
                <w:color w:val="002060"/>
                <w:sz w:val="20"/>
                <w:szCs w:val="20"/>
              </w:rPr>
              <w:t xml:space="preserve"> y </w:t>
            </w:r>
            <w:r w:rsidR="00723212" w:rsidRPr="00E54FB0">
              <w:rPr>
                <w:rFonts w:cs="Calibri"/>
                <w:b/>
                <w:bCs/>
                <w:i/>
                <w:iCs/>
                <w:color w:val="002060"/>
                <w:sz w:val="20"/>
                <w:szCs w:val="20"/>
              </w:rPr>
              <w:t>Prevención y el control de la contaminación</w:t>
            </w:r>
          </w:p>
          <w:p w:rsidR="00AE558F" w:rsidRPr="00723212" w:rsidRDefault="00AE558F" w:rsidP="00723212">
            <w:pPr>
              <w:pStyle w:val="Prrafodelista"/>
              <w:numPr>
                <w:ilvl w:val="0"/>
                <w:numId w:val="45"/>
              </w:numPr>
              <w:spacing w:after="0" w:line="240" w:lineRule="auto"/>
              <w:ind w:left="214" w:hanging="218"/>
              <w:jc w:val="both"/>
              <w:rPr>
                <w:rFonts w:cs="Calibri"/>
                <w:color w:val="002060"/>
                <w:sz w:val="20"/>
                <w:szCs w:val="20"/>
              </w:rPr>
            </w:pPr>
            <w:r w:rsidRPr="00723212">
              <w:rPr>
                <w:rFonts w:cs="Calibri"/>
                <w:color w:val="002060"/>
                <w:sz w:val="20"/>
                <w:szCs w:val="20"/>
              </w:rPr>
              <w:t xml:space="preserve">La medida debe conducir a un desempeño </w:t>
            </w:r>
            <w:r w:rsidRPr="00723212">
              <w:rPr>
                <w:rFonts w:cs="Calibri"/>
                <w:color w:val="002060"/>
                <w:sz w:val="20"/>
                <w:szCs w:val="20"/>
              </w:rPr>
              <w:lastRenderedPageBreak/>
              <w:t>ambiental significativamente mejor que las alternativas disponibles.</w:t>
            </w:r>
          </w:p>
          <w:p w:rsidR="00AE558F" w:rsidRPr="00723212" w:rsidRDefault="00AE558F" w:rsidP="00723212">
            <w:pPr>
              <w:pStyle w:val="Prrafodelista"/>
              <w:numPr>
                <w:ilvl w:val="0"/>
                <w:numId w:val="45"/>
              </w:numPr>
              <w:spacing w:after="0" w:line="240" w:lineRule="auto"/>
              <w:ind w:left="214" w:hanging="218"/>
              <w:jc w:val="both"/>
              <w:rPr>
                <w:rFonts w:cs="Calibri"/>
                <w:color w:val="002060"/>
                <w:sz w:val="20"/>
                <w:szCs w:val="20"/>
              </w:rPr>
            </w:pPr>
            <w:r w:rsidRPr="00723212">
              <w:rPr>
                <w:rFonts w:cs="Calibri"/>
                <w:color w:val="002060"/>
                <w:sz w:val="20"/>
                <w:szCs w:val="20"/>
              </w:rPr>
              <w:t>La medida debe evitar situaciones de bloqueo ambientalmente perjudiciales.</w:t>
            </w:r>
          </w:p>
          <w:p w:rsidR="007F6114" w:rsidRPr="00723212" w:rsidRDefault="00AE558F" w:rsidP="00AE558F">
            <w:pPr>
              <w:pStyle w:val="Prrafodelista"/>
              <w:numPr>
                <w:ilvl w:val="0"/>
                <w:numId w:val="45"/>
              </w:numPr>
              <w:spacing w:after="0" w:line="240" w:lineRule="auto"/>
              <w:ind w:left="214" w:hanging="218"/>
              <w:jc w:val="both"/>
              <w:rPr>
                <w:rFonts w:cs="Calibri"/>
                <w:b/>
                <w:bCs/>
                <w:i/>
                <w:iCs/>
                <w:color w:val="002060"/>
                <w:sz w:val="20"/>
                <w:szCs w:val="20"/>
              </w:rPr>
            </w:pPr>
            <w:r w:rsidRPr="00723212">
              <w:rPr>
                <w:rFonts w:cs="Calibri"/>
                <w:color w:val="002060"/>
                <w:sz w:val="20"/>
                <w:szCs w:val="20"/>
              </w:rPr>
              <w:t>La medida no debe obstaculizar el desarrollo y despliegue de alternativas de bajo impacto futuras.</w:t>
            </w:r>
          </w:p>
        </w:tc>
        <w:tc>
          <w:tcPr>
            <w:tcW w:w="3545" w:type="dxa"/>
            <w:gridSpan w:val="6"/>
            <w:shd w:val="clear" w:color="auto" w:fill="auto"/>
            <w:vAlign w:val="center"/>
          </w:tcPr>
          <w:p w:rsidR="007F6114" w:rsidRPr="00AE558F" w:rsidRDefault="007F6114" w:rsidP="00AE558F">
            <w:pPr>
              <w:spacing w:after="0" w:line="240" w:lineRule="auto"/>
              <w:jc w:val="both"/>
              <w:rPr>
                <w:rFonts w:cs="Calibri"/>
                <w:color w:val="002060"/>
                <w:sz w:val="20"/>
                <w:szCs w:val="20"/>
              </w:rPr>
            </w:pPr>
          </w:p>
        </w:tc>
        <w:tc>
          <w:tcPr>
            <w:tcW w:w="2836" w:type="dxa"/>
            <w:shd w:val="clear" w:color="auto" w:fill="auto"/>
            <w:noWrap/>
            <w:vAlign w:val="center"/>
          </w:tcPr>
          <w:p w:rsidR="007F6114" w:rsidRPr="00FF2094" w:rsidRDefault="007F6114" w:rsidP="007F6114">
            <w:pPr>
              <w:spacing w:line="240" w:lineRule="auto"/>
              <w:rPr>
                <w:color w:val="000000"/>
                <w:sz w:val="20"/>
                <w:szCs w:val="20"/>
              </w:rPr>
            </w:pPr>
          </w:p>
        </w:tc>
      </w:tr>
      <w:tr w:rsidR="00C62C11" w:rsidRPr="00FF2094" w:rsidTr="000838DB">
        <w:trPr>
          <w:trHeight w:val="329"/>
        </w:trPr>
        <w:tc>
          <w:tcPr>
            <w:tcW w:w="4393" w:type="dxa"/>
            <w:shd w:val="clear" w:color="auto" w:fill="DEEAF6" w:themeFill="accent1" w:themeFillTint="33"/>
            <w:noWrap/>
          </w:tcPr>
          <w:p w:rsidR="00723212" w:rsidRDefault="00723212" w:rsidP="00723212">
            <w:pPr>
              <w:spacing w:after="0" w:line="240" w:lineRule="auto"/>
              <w:jc w:val="both"/>
              <w:rPr>
                <w:rFonts w:cs="Calibri"/>
                <w:b/>
                <w:bCs/>
                <w:i/>
                <w:iCs/>
                <w:color w:val="002060"/>
                <w:sz w:val="20"/>
                <w:szCs w:val="20"/>
              </w:rPr>
            </w:pPr>
            <w:r w:rsidRPr="001407FC">
              <w:rPr>
                <w:rFonts w:cs="Calibri"/>
                <w:b/>
                <w:bCs/>
                <w:i/>
                <w:iCs/>
                <w:color w:val="002060"/>
                <w:sz w:val="20"/>
                <w:szCs w:val="20"/>
              </w:rPr>
              <w:lastRenderedPageBreak/>
              <w:t xml:space="preserve">Economía circular – </w:t>
            </w:r>
            <w:r>
              <w:rPr>
                <w:rFonts w:cs="Calibri"/>
                <w:b/>
                <w:bCs/>
                <w:i/>
                <w:iCs/>
                <w:color w:val="002060"/>
                <w:sz w:val="20"/>
                <w:szCs w:val="20"/>
              </w:rPr>
              <w:t>Reciclaje de r</w:t>
            </w:r>
            <w:r w:rsidRPr="001407FC">
              <w:rPr>
                <w:rFonts w:cs="Calibri"/>
                <w:b/>
                <w:bCs/>
                <w:i/>
                <w:iCs/>
                <w:color w:val="002060"/>
                <w:sz w:val="20"/>
                <w:szCs w:val="20"/>
              </w:rPr>
              <w:t>esiduos</w:t>
            </w:r>
          </w:p>
          <w:p w:rsidR="00723212" w:rsidRDefault="00723212" w:rsidP="00723212">
            <w:pPr>
              <w:spacing w:after="0"/>
              <w:jc w:val="both"/>
              <w:rPr>
                <w:color w:val="002060"/>
                <w:sz w:val="20"/>
                <w:szCs w:val="20"/>
              </w:rPr>
            </w:pPr>
            <w:r w:rsidRPr="00271A46">
              <w:rPr>
                <w:color w:val="002060"/>
                <w:sz w:val="20"/>
                <w:szCs w:val="20"/>
              </w:rPr>
              <w:t xml:space="preserve">Los </w:t>
            </w:r>
            <w:r w:rsidRPr="00C62C11">
              <w:rPr>
                <w:color w:val="002060"/>
                <w:sz w:val="20"/>
                <w:szCs w:val="20"/>
              </w:rPr>
              <w:t>vehículos de esta categoría deben cumplir con los siguientes requisitos:</w:t>
            </w:r>
          </w:p>
          <w:p w:rsidR="00723212" w:rsidRDefault="00723212" w:rsidP="00723212">
            <w:pPr>
              <w:pStyle w:val="Prrafodelista"/>
              <w:numPr>
                <w:ilvl w:val="0"/>
                <w:numId w:val="43"/>
              </w:numPr>
              <w:spacing w:after="0"/>
              <w:ind w:left="214" w:hanging="219"/>
              <w:jc w:val="both"/>
              <w:rPr>
                <w:color w:val="002060"/>
                <w:sz w:val="20"/>
                <w:szCs w:val="20"/>
              </w:rPr>
            </w:pPr>
            <w:r w:rsidRPr="006B4F87">
              <w:rPr>
                <w:color w:val="002060"/>
                <w:sz w:val="20"/>
                <w:szCs w:val="20"/>
              </w:rPr>
              <w:t>reutilizables o reciclables hasta un mínimo del 85% en peso,</w:t>
            </w:r>
          </w:p>
          <w:p w:rsidR="00723212" w:rsidRPr="006B4F87" w:rsidRDefault="00723212" w:rsidP="00723212">
            <w:pPr>
              <w:pStyle w:val="Prrafodelista"/>
              <w:numPr>
                <w:ilvl w:val="0"/>
                <w:numId w:val="43"/>
              </w:numPr>
              <w:spacing w:after="0"/>
              <w:ind w:left="214" w:hanging="219"/>
              <w:jc w:val="both"/>
              <w:rPr>
                <w:color w:val="002060"/>
                <w:sz w:val="20"/>
                <w:szCs w:val="20"/>
              </w:rPr>
            </w:pPr>
            <w:r w:rsidRPr="006B4F87">
              <w:rPr>
                <w:color w:val="002060"/>
                <w:sz w:val="20"/>
                <w:szCs w:val="20"/>
              </w:rPr>
              <w:t xml:space="preserve">reutilizables o recuperables hasta un mínimo del 95% en peso.                                                                                                                                                       </w:t>
            </w:r>
          </w:p>
          <w:p w:rsidR="00C62C11" w:rsidRPr="00AE558F" w:rsidRDefault="00723212" w:rsidP="00723212">
            <w:pPr>
              <w:spacing w:after="0" w:line="240" w:lineRule="auto"/>
              <w:jc w:val="both"/>
              <w:rPr>
                <w:rFonts w:cs="Calibri"/>
                <w:b/>
                <w:bCs/>
                <w:i/>
                <w:iCs/>
                <w:color w:val="002060"/>
                <w:sz w:val="20"/>
                <w:szCs w:val="20"/>
              </w:rPr>
            </w:pPr>
            <w:r w:rsidRPr="00271A46">
              <w:rPr>
                <w:color w:val="002060"/>
                <w:sz w:val="20"/>
                <w:szCs w:val="20"/>
              </w:rPr>
              <w:t>Además, deben de cumplirse las medidas existentes para gestionar los residuos tanto en la fase de uso (mantenimiento) como al final de la vida útil de la flota, incluso mediante la reutilización y el reciclaje de baterías y productos electrónicos (en particular las materias primas críticas que contienen), de acuerdo con la jerarquía de residuos.                                                                                                                                                                                                                      Por otro lado, los vehículos de todos los tipos adquiridos u operados no deben contener plomo, mercurio, cromo hexavalente ni cadmio, salvo las exenciones enumeradas en el anexo II de la Directiva 2000/53 / CE448.</w:t>
            </w:r>
          </w:p>
        </w:tc>
        <w:tc>
          <w:tcPr>
            <w:tcW w:w="3545" w:type="dxa"/>
            <w:gridSpan w:val="6"/>
            <w:shd w:val="clear" w:color="auto" w:fill="auto"/>
            <w:vAlign w:val="center"/>
          </w:tcPr>
          <w:p w:rsidR="00C62C11" w:rsidRPr="00271A46" w:rsidRDefault="00C62C11" w:rsidP="006B4F87">
            <w:pPr>
              <w:spacing w:after="0"/>
              <w:jc w:val="both"/>
              <w:rPr>
                <w:color w:val="002060"/>
                <w:sz w:val="20"/>
                <w:szCs w:val="20"/>
              </w:rPr>
            </w:pPr>
          </w:p>
        </w:tc>
        <w:tc>
          <w:tcPr>
            <w:tcW w:w="2836" w:type="dxa"/>
            <w:shd w:val="clear" w:color="auto" w:fill="auto"/>
            <w:noWrap/>
            <w:vAlign w:val="center"/>
          </w:tcPr>
          <w:p w:rsidR="00C62C11" w:rsidRPr="00FF2094" w:rsidRDefault="00C62C11" w:rsidP="00C62C11">
            <w:pPr>
              <w:spacing w:line="240" w:lineRule="auto"/>
              <w:rPr>
                <w:color w:val="000000"/>
                <w:sz w:val="20"/>
                <w:szCs w:val="20"/>
              </w:rPr>
            </w:pPr>
          </w:p>
        </w:tc>
      </w:tr>
      <w:tr w:rsidR="00AE558F" w:rsidRPr="00ED2103" w:rsidTr="000838DB">
        <w:trPr>
          <w:trHeight w:val="329"/>
        </w:trPr>
        <w:tc>
          <w:tcPr>
            <w:tcW w:w="4393" w:type="dxa"/>
            <w:shd w:val="clear" w:color="auto" w:fill="1F4E79" w:themeFill="accent1" w:themeFillShade="80"/>
            <w:noWrap/>
            <w:vAlign w:val="center"/>
          </w:tcPr>
          <w:p w:rsidR="00AE558F" w:rsidRPr="00822B21" w:rsidRDefault="00AE558F" w:rsidP="00AE558F">
            <w:pPr>
              <w:spacing w:after="0" w:line="240" w:lineRule="auto"/>
              <w:jc w:val="both"/>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 xml:space="preserve">CRITERIOS DE PRIORIZACIÓN </w:t>
            </w:r>
          </w:p>
        </w:tc>
        <w:tc>
          <w:tcPr>
            <w:tcW w:w="3545" w:type="dxa"/>
            <w:gridSpan w:val="6"/>
            <w:shd w:val="clear" w:color="auto" w:fill="1F4E79" w:themeFill="accent1" w:themeFillShade="80"/>
            <w:vAlign w:val="center"/>
          </w:tcPr>
          <w:p w:rsidR="00AE558F" w:rsidRPr="00822B21" w:rsidRDefault="00AE558F" w:rsidP="00AE558F">
            <w:pPr>
              <w:spacing w:after="0" w:line="240" w:lineRule="auto"/>
              <w:jc w:val="center"/>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POSIBLES JUSTIFICACIONES</w:t>
            </w:r>
          </w:p>
        </w:tc>
        <w:tc>
          <w:tcPr>
            <w:tcW w:w="2836" w:type="dxa"/>
            <w:shd w:val="clear" w:color="auto" w:fill="1F4E79" w:themeFill="accent1" w:themeFillShade="80"/>
            <w:noWrap/>
            <w:vAlign w:val="center"/>
          </w:tcPr>
          <w:p w:rsidR="00AE558F" w:rsidRPr="00822B21" w:rsidRDefault="00AE558F" w:rsidP="00AE558F">
            <w:pPr>
              <w:spacing w:after="0" w:line="240" w:lineRule="auto"/>
              <w:jc w:val="center"/>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POSIBLES EVIDENCIAS</w:t>
            </w:r>
          </w:p>
        </w:tc>
      </w:tr>
      <w:tr w:rsidR="00AE558F" w:rsidRPr="00ED2103" w:rsidTr="000838DB">
        <w:trPr>
          <w:trHeight w:val="329"/>
        </w:trPr>
        <w:tc>
          <w:tcPr>
            <w:tcW w:w="4393" w:type="dxa"/>
            <w:shd w:val="clear" w:color="auto" w:fill="DEEAF6" w:themeFill="accent1" w:themeFillTint="33"/>
            <w:noWrap/>
            <w:vAlign w:val="center"/>
          </w:tcPr>
          <w:p w:rsidR="00FD775C" w:rsidRPr="00FD775C" w:rsidRDefault="00FD775C" w:rsidP="00FD775C">
            <w:pPr>
              <w:autoSpaceDE w:val="0"/>
              <w:autoSpaceDN w:val="0"/>
              <w:adjustRightInd w:val="0"/>
              <w:spacing w:after="0" w:line="240" w:lineRule="auto"/>
              <w:jc w:val="both"/>
              <w:rPr>
                <w:rFonts w:cs="Calibri"/>
                <w:b/>
                <w:bCs/>
                <w:i/>
                <w:iCs/>
                <w:color w:val="002060"/>
                <w:sz w:val="20"/>
                <w:szCs w:val="20"/>
              </w:rPr>
            </w:pPr>
            <w:r w:rsidRPr="00FD775C">
              <w:rPr>
                <w:rFonts w:cs="Calibri"/>
                <w:b/>
                <w:bCs/>
                <w:i/>
                <w:iCs/>
                <w:color w:val="002060"/>
                <w:sz w:val="20"/>
                <w:szCs w:val="20"/>
              </w:rPr>
              <w:t>Grado de obsolescencia</w:t>
            </w:r>
          </w:p>
          <w:p w:rsidR="00AE558F" w:rsidRPr="009C60ED" w:rsidRDefault="00AE558F" w:rsidP="00FD775C">
            <w:pPr>
              <w:spacing w:after="0" w:line="240" w:lineRule="auto"/>
              <w:jc w:val="both"/>
              <w:rPr>
                <w:color w:val="002060"/>
                <w:sz w:val="20"/>
                <w:szCs w:val="20"/>
              </w:rPr>
            </w:pPr>
            <w:r w:rsidRPr="009C60ED">
              <w:rPr>
                <w:color w:val="002060"/>
                <w:sz w:val="20"/>
                <w:szCs w:val="20"/>
              </w:rPr>
              <w:t xml:space="preserve">Se priorizará la adquisición de aquellos elementos de extinción de incendios en atención al grado de obsolescencia. </w:t>
            </w:r>
          </w:p>
        </w:tc>
        <w:tc>
          <w:tcPr>
            <w:tcW w:w="3545" w:type="dxa"/>
            <w:gridSpan w:val="6"/>
            <w:shd w:val="clear" w:color="auto" w:fill="auto"/>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c>
          <w:tcPr>
            <w:tcW w:w="2836" w:type="dxa"/>
            <w:shd w:val="clear" w:color="auto" w:fill="auto"/>
            <w:noWrap/>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r>
      <w:tr w:rsidR="00AE558F" w:rsidRPr="00ED2103" w:rsidTr="000838DB">
        <w:trPr>
          <w:trHeight w:val="329"/>
        </w:trPr>
        <w:tc>
          <w:tcPr>
            <w:tcW w:w="4393" w:type="dxa"/>
            <w:shd w:val="clear" w:color="auto" w:fill="DEEAF6" w:themeFill="accent1" w:themeFillTint="33"/>
            <w:noWrap/>
            <w:vAlign w:val="bottom"/>
          </w:tcPr>
          <w:p w:rsidR="00FD775C" w:rsidRPr="00FD775C" w:rsidRDefault="00FD775C" w:rsidP="00FD775C">
            <w:pPr>
              <w:autoSpaceDE w:val="0"/>
              <w:autoSpaceDN w:val="0"/>
              <w:adjustRightInd w:val="0"/>
              <w:spacing w:after="0" w:line="240" w:lineRule="auto"/>
              <w:jc w:val="both"/>
              <w:rPr>
                <w:rFonts w:cs="Calibri"/>
                <w:b/>
                <w:bCs/>
                <w:i/>
                <w:iCs/>
                <w:color w:val="002060"/>
                <w:sz w:val="20"/>
                <w:szCs w:val="20"/>
              </w:rPr>
            </w:pPr>
            <w:r w:rsidRPr="00FD775C">
              <w:rPr>
                <w:rFonts w:cs="Calibri"/>
                <w:b/>
                <w:bCs/>
                <w:i/>
                <w:iCs/>
                <w:color w:val="002060"/>
                <w:sz w:val="20"/>
                <w:szCs w:val="20"/>
              </w:rPr>
              <w:t xml:space="preserve">Equipamiento de bajas emisiones </w:t>
            </w:r>
          </w:p>
          <w:p w:rsidR="00AE558F" w:rsidRPr="009C60ED" w:rsidRDefault="00AE558F" w:rsidP="00FD775C">
            <w:pPr>
              <w:spacing w:after="0" w:line="240" w:lineRule="auto"/>
              <w:rPr>
                <w:color w:val="002060"/>
                <w:sz w:val="20"/>
                <w:szCs w:val="20"/>
              </w:rPr>
            </w:pPr>
            <w:r w:rsidRPr="009C60ED">
              <w:rPr>
                <w:color w:val="002060"/>
                <w:sz w:val="20"/>
                <w:szCs w:val="20"/>
              </w:rPr>
              <w:t>Se priorizará el empleo de equipamiento de bajas emisiones en la adquisición de los elementos de extinción destinado al Servicio de Emergencia del Principado de Asturias, en la medida de que tales equipamientos existan en el mercado</w:t>
            </w:r>
          </w:p>
        </w:tc>
        <w:tc>
          <w:tcPr>
            <w:tcW w:w="3545" w:type="dxa"/>
            <w:gridSpan w:val="6"/>
            <w:shd w:val="clear" w:color="auto" w:fill="auto"/>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c>
          <w:tcPr>
            <w:tcW w:w="2836" w:type="dxa"/>
            <w:shd w:val="clear" w:color="auto" w:fill="auto"/>
            <w:noWrap/>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r>
    </w:tbl>
    <w:p w:rsidR="00C95CFD" w:rsidRDefault="00C95CFD" w:rsidP="00FF2094">
      <w:pPr>
        <w:spacing w:line="240" w:lineRule="auto"/>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sectPr w:rsidR="008A6337" w:rsidRPr="00A97432" w:rsidSect="00C94374">
      <w:headerReference w:type="default" r:id="rId9"/>
      <w:footerReference w:type="default" r:id="rId10"/>
      <w:pgSz w:w="11906" w:h="16838" w:code="9"/>
      <w:pgMar w:top="981" w:right="1274" w:bottom="1134" w:left="1418"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E2" w:rsidRDefault="009A4FE2" w:rsidP="00895B8C">
      <w:pPr>
        <w:spacing w:after="0" w:line="240" w:lineRule="auto"/>
      </w:pPr>
      <w:r>
        <w:separator/>
      </w:r>
    </w:p>
  </w:endnote>
  <w:endnote w:type="continuationSeparator" w:id="0">
    <w:p w:rsidR="009A4FE2" w:rsidRDefault="009A4FE2"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sturica">
    <w:altName w:val="Asturica"/>
    <w:panose1 w:val="00000000000000000000"/>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8A2" w:rsidRDefault="00441812" w:rsidP="00F678A2">
    <w:pPr>
      <w:pStyle w:val="Piedepgina"/>
      <w:jc w:val="center"/>
    </w:pPr>
    <w:r w:rsidRPr="00F538F2">
      <w:rPr>
        <w:noProof/>
        <w:lang w:eastAsia="es-ES"/>
      </w:rPr>
      <w:drawing>
        <wp:inline distT="0" distB="0" distL="0" distR="0" wp14:anchorId="48AA46D5" wp14:editId="476C419B">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E2" w:rsidRDefault="009A4FE2" w:rsidP="00895B8C">
      <w:pPr>
        <w:spacing w:after="0" w:line="240" w:lineRule="auto"/>
      </w:pPr>
      <w:r>
        <w:separator/>
      </w:r>
    </w:p>
  </w:footnote>
  <w:footnote w:type="continuationSeparator" w:id="0">
    <w:p w:rsidR="009A4FE2" w:rsidRDefault="009A4FE2" w:rsidP="00895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1"/>
      <w:gridCol w:w="4086"/>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269E2765" wp14:editId="1C5A1015">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EFF037"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4627A68F" wp14:editId="7A2D86E0">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 y Fondos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3F9C31CA" wp14:editId="662EFA4E">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10476B"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33458011" wp14:editId="0C4EDE13">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845582"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781597"/>
    <w:multiLevelType w:val="hybridMultilevel"/>
    <w:tmpl w:val="01F2F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4223C6"/>
    <w:multiLevelType w:val="hybridMultilevel"/>
    <w:tmpl w:val="371A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27E0275"/>
    <w:multiLevelType w:val="hybridMultilevel"/>
    <w:tmpl w:val="C1AC94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3E9224E"/>
    <w:multiLevelType w:val="hybridMultilevel"/>
    <w:tmpl w:val="6428B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1812BB2"/>
    <w:multiLevelType w:val="hybridMultilevel"/>
    <w:tmpl w:val="F69A2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0D3C96"/>
    <w:multiLevelType w:val="hybridMultilevel"/>
    <w:tmpl w:val="53BCB356"/>
    <w:lvl w:ilvl="0" w:tplc="0C0A000F">
      <w:start w:val="1"/>
      <w:numFmt w:val="decimal"/>
      <w:lvlText w:val="%1."/>
      <w:lvlJc w:val="left"/>
      <w:pPr>
        <w:ind w:left="720" w:hanging="360"/>
      </w:pPr>
    </w:lvl>
    <w:lvl w:ilvl="1" w:tplc="0EF2A7C8">
      <w:start w:val="1"/>
      <w:numFmt w:val="decimal"/>
      <w:lvlText w:val="%2."/>
      <w:lvlJc w:val="left"/>
      <w:pPr>
        <w:ind w:left="1440" w:hanging="360"/>
      </w:pPr>
      <w:rPr>
        <w:rFonts w:hint="default"/>
      </w:rPr>
    </w:lvl>
    <w:lvl w:ilvl="2" w:tplc="5546F9AC">
      <w:start w:val="1"/>
      <w:numFmt w:val="lowerLetter"/>
      <w:lvlText w:val="%3."/>
      <w:lvlJc w:val="left"/>
      <w:pPr>
        <w:ind w:left="2340" w:hanging="360"/>
      </w:pPr>
      <w:rPr>
        <w:rFonts w:hint="default"/>
        <w:b w:val="0"/>
        <w:i/>
        <w:color w:val="auto"/>
      </w:rPr>
    </w:lvl>
    <w:lvl w:ilvl="3" w:tplc="0A0815CC">
      <w:start w:val="1"/>
      <w:numFmt w:val="lowerRoman"/>
      <w:lvlText w:val="%4)"/>
      <w:lvlJc w:val="left"/>
      <w:pPr>
        <w:ind w:left="3240" w:hanging="72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FFF2F47"/>
    <w:multiLevelType w:val="hybridMultilevel"/>
    <w:tmpl w:val="CEA4F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30">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8217E1"/>
    <w:multiLevelType w:val="hybridMultilevel"/>
    <w:tmpl w:val="A4F4975A"/>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35">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18753F5"/>
    <w:multiLevelType w:val="hybridMultilevel"/>
    <w:tmpl w:val="43CC75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4E33641"/>
    <w:multiLevelType w:val="hybridMultilevel"/>
    <w:tmpl w:val="E60E4D80"/>
    <w:lvl w:ilvl="0" w:tplc="AF38A06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4"/>
  </w:num>
  <w:num w:numId="2">
    <w:abstractNumId w:val="45"/>
  </w:num>
  <w:num w:numId="3">
    <w:abstractNumId w:val="10"/>
  </w:num>
  <w:num w:numId="4">
    <w:abstractNumId w:val="41"/>
  </w:num>
  <w:num w:numId="5">
    <w:abstractNumId w:val="16"/>
  </w:num>
  <w:num w:numId="6">
    <w:abstractNumId w:val="4"/>
  </w:num>
  <w:num w:numId="7">
    <w:abstractNumId w:val="17"/>
  </w:num>
  <w:num w:numId="8">
    <w:abstractNumId w:val="25"/>
  </w:num>
  <w:num w:numId="9">
    <w:abstractNumId w:val="35"/>
  </w:num>
  <w:num w:numId="10">
    <w:abstractNumId w:val="33"/>
  </w:num>
  <w:num w:numId="11">
    <w:abstractNumId w:val="39"/>
  </w:num>
  <w:num w:numId="12">
    <w:abstractNumId w:val="43"/>
  </w:num>
  <w:num w:numId="13">
    <w:abstractNumId w:val="21"/>
  </w:num>
  <w:num w:numId="14">
    <w:abstractNumId w:val="0"/>
  </w:num>
  <w:num w:numId="15">
    <w:abstractNumId w:val="15"/>
  </w:num>
  <w:num w:numId="16">
    <w:abstractNumId w:val="42"/>
  </w:num>
  <w:num w:numId="17">
    <w:abstractNumId w:val="1"/>
  </w:num>
  <w:num w:numId="18">
    <w:abstractNumId w:val="37"/>
  </w:num>
  <w:num w:numId="19">
    <w:abstractNumId w:val="31"/>
  </w:num>
  <w:num w:numId="20">
    <w:abstractNumId w:val="18"/>
  </w:num>
  <w:num w:numId="21">
    <w:abstractNumId w:val="40"/>
  </w:num>
  <w:num w:numId="22">
    <w:abstractNumId w:val="7"/>
  </w:num>
  <w:num w:numId="23">
    <w:abstractNumId w:val="32"/>
  </w:num>
  <w:num w:numId="24">
    <w:abstractNumId w:val="26"/>
  </w:num>
  <w:num w:numId="25">
    <w:abstractNumId w:val="22"/>
  </w:num>
  <w:num w:numId="26">
    <w:abstractNumId w:val="13"/>
  </w:num>
  <w:num w:numId="27">
    <w:abstractNumId w:val="2"/>
  </w:num>
  <w:num w:numId="28">
    <w:abstractNumId w:val="11"/>
  </w:num>
  <w:num w:numId="29">
    <w:abstractNumId w:val="20"/>
  </w:num>
  <w:num w:numId="30">
    <w:abstractNumId w:val="23"/>
  </w:num>
  <w:num w:numId="31">
    <w:abstractNumId w:val="12"/>
  </w:num>
  <w:num w:numId="32">
    <w:abstractNumId w:val="30"/>
  </w:num>
  <w:num w:numId="33">
    <w:abstractNumId w:val="3"/>
  </w:num>
  <w:num w:numId="34">
    <w:abstractNumId w:val="6"/>
  </w:num>
  <w:num w:numId="35">
    <w:abstractNumId w:val="29"/>
  </w:num>
  <w:num w:numId="36">
    <w:abstractNumId w:val="9"/>
  </w:num>
  <w:num w:numId="37">
    <w:abstractNumId w:val="24"/>
  </w:num>
  <w:num w:numId="38">
    <w:abstractNumId w:val="28"/>
  </w:num>
  <w:num w:numId="39">
    <w:abstractNumId w:val="34"/>
  </w:num>
  <w:num w:numId="40">
    <w:abstractNumId w:val="8"/>
  </w:num>
  <w:num w:numId="41">
    <w:abstractNumId w:val="38"/>
  </w:num>
  <w:num w:numId="42">
    <w:abstractNumId w:val="14"/>
  </w:num>
  <w:num w:numId="43">
    <w:abstractNumId w:val="36"/>
  </w:num>
  <w:num w:numId="44">
    <w:abstractNumId w:val="19"/>
  </w:num>
  <w:num w:numId="45">
    <w:abstractNumId w:val="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C"/>
    <w:rsid w:val="000066FB"/>
    <w:rsid w:val="00011D77"/>
    <w:rsid w:val="000134F2"/>
    <w:rsid w:val="000153A2"/>
    <w:rsid w:val="00015B0F"/>
    <w:rsid w:val="0002615B"/>
    <w:rsid w:val="00026E2C"/>
    <w:rsid w:val="00030D4A"/>
    <w:rsid w:val="00036B8E"/>
    <w:rsid w:val="00037206"/>
    <w:rsid w:val="00037373"/>
    <w:rsid w:val="000435BE"/>
    <w:rsid w:val="0004636E"/>
    <w:rsid w:val="0005684C"/>
    <w:rsid w:val="0005708B"/>
    <w:rsid w:val="00071DAC"/>
    <w:rsid w:val="00072652"/>
    <w:rsid w:val="00076365"/>
    <w:rsid w:val="000838DB"/>
    <w:rsid w:val="000940B7"/>
    <w:rsid w:val="000A0B00"/>
    <w:rsid w:val="000A2407"/>
    <w:rsid w:val="000B3BEB"/>
    <w:rsid w:val="000C7603"/>
    <w:rsid w:val="000E61DD"/>
    <w:rsid w:val="000F05DA"/>
    <w:rsid w:val="000F7945"/>
    <w:rsid w:val="00114D34"/>
    <w:rsid w:val="001153A5"/>
    <w:rsid w:val="00117409"/>
    <w:rsid w:val="001235F3"/>
    <w:rsid w:val="00125915"/>
    <w:rsid w:val="0014549B"/>
    <w:rsid w:val="00146F14"/>
    <w:rsid w:val="001603F0"/>
    <w:rsid w:val="00177E02"/>
    <w:rsid w:val="001814F7"/>
    <w:rsid w:val="00183B0D"/>
    <w:rsid w:val="0019097B"/>
    <w:rsid w:val="001A1E43"/>
    <w:rsid w:val="001A4C19"/>
    <w:rsid w:val="001B28A4"/>
    <w:rsid w:val="001B636A"/>
    <w:rsid w:val="001B7391"/>
    <w:rsid w:val="001C4D9C"/>
    <w:rsid w:val="001C7003"/>
    <w:rsid w:val="001E1E29"/>
    <w:rsid w:val="001F0DAD"/>
    <w:rsid w:val="001F4B49"/>
    <w:rsid w:val="001F60D7"/>
    <w:rsid w:val="00201A99"/>
    <w:rsid w:val="0021068A"/>
    <w:rsid w:val="002149DB"/>
    <w:rsid w:val="00221409"/>
    <w:rsid w:val="00230902"/>
    <w:rsid w:val="00271A46"/>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30164C"/>
    <w:rsid w:val="00302B60"/>
    <w:rsid w:val="003122F6"/>
    <w:rsid w:val="00321F71"/>
    <w:rsid w:val="00323E1A"/>
    <w:rsid w:val="00334BE2"/>
    <w:rsid w:val="00334E48"/>
    <w:rsid w:val="00335C49"/>
    <w:rsid w:val="00337BD0"/>
    <w:rsid w:val="003424A3"/>
    <w:rsid w:val="0035384F"/>
    <w:rsid w:val="00373CC8"/>
    <w:rsid w:val="00374080"/>
    <w:rsid w:val="00377C42"/>
    <w:rsid w:val="0038436A"/>
    <w:rsid w:val="00384B8E"/>
    <w:rsid w:val="003B17A9"/>
    <w:rsid w:val="003B5BC4"/>
    <w:rsid w:val="003B795B"/>
    <w:rsid w:val="003C5641"/>
    <w:rsid w:val="003C69F6"/>
    <w:rsid w:val="003D207F"/>
    <w:rsid w:val="003D5F2E"/>
    <w:rsid w:val="003D6466"/>
    <w:rsid w:val="003D7A3E"/>
    <w:rsid w:val="003D7BBD"/>
    <w:rsid w:val="003F15DB"/>
    <w:rsid w:val="004060DE"/>
    <w:rsid w:val="00410313"/>
    <w:rsid w:val="004115AA"/>
    <w:rsid w:val="00432343"/>
    <w:rsid w:val="0043711C"/>
    <w:rsid w:val="00437910"/>
    <w:rsid w:val="00440A18"/>
    <w:rsid w:val="00441812"/>
    <w:rsid w:val="0044187F"/>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52E8"/>
    <w:rsid w:val="004D786A"/>
    <w:rsid w:val="004E0328"/>
    <w:rsid w:val="004E1262"/>
    <w:rsid w:val="004F1880"/>
    <w:rsid w:val="005011EE"/>
    <w:rsid w:val="00501F39"/>
    <w:rsid w:val="00507151"/>
    <w:rsid w:val="00536801"/>
    <w:rsid w:val="00542DA2"/>
    <w:rsid w:val="00547C85"/>
    <w:rsid w:val="00550047"/>
    <w:rsid w:val="00550ADA"/>
    <w:rsid w:val="00560348"/>
    <w:rsid w:val="005640E1"/>
    <w:rsid w:val="00566B2A"/>
    <w:rsid w:val="005814F6"/>
    <w:rsid w:val="00585AFF"/>
    <w:rsid w:val="00586F31"/>
    <w:rsid w:val="005B71BA"/>
    <w:rsid w:val="005C60E1"/>
    <w:rsid w:val="005D1A49"/>
    <w:rsid w:val="005D7467"/>
    <w:rsid w:val="005E0490"/>
    <w:rsid w:val="00610268"/>
    <w:rsid w:val="00610EB8"/>
    <w:rsid w:val="0061581B"/>
    <w:rsid w:val="00621293"/>
    <w:rsid w:val="006261BE"/>
    <w:rsid w:val="006360A1"/>
    <w:rsid w:val="00637103"/>
    <w:rsid w:val="00641885"/>
    <w:rsid w:val="00651FE0"/>
    <w:rsid w:val="006601A7"/>
    <w:rsid w:val="006621AB"/>
    <w:rsid w:val="006726EF"/>
    <w:rsid w:val="006800A8"/>
    <w:rsid w:val="006809F5"/>
    <w:rsid w:val="00687044"/>
    <w:rsid w:val="006B187D"/>
    <w:rsid w:val="006B1BD2"/>
    <w:rsid w:val="006B4F87"/>
    <w:rsid w:val="006C4A85"/>
    <w:rsid w:val="006C648D"/>
    <w:rsid w:val="006D66BD"/>
    <w:rsid w:val="006D7D27"/>
    <w:rsid w:val="006E2244"/>
    <w:rsid w:val="006F5580"/>
    <w:rsid w:val="006F6E51"/>
    <w:rsid w:val="00700B1B"/>
    <w:rsid w:val="007014C5"/>
    <w:rsid w:val="00701924"/>
    <w:rsid w:val="00701BED"/>
    <w:rsid w:val="00701E7C"/>
    <w:rsid w:val="00720FEF"/>
    <w:rsid w:val="00723212"/>
    <w:rsid w:val="007247E9"/>
    <w:rsid w:val="00735A8C"/>
    <w:rsid w:val="00752C7D"/>
    <w:rsid w:val="00764BF5"/>
    <w:rsid w:val="00766A8B"/>
    <w:rsid w:val="00773AD9"/>
    <w:rsid w:val="0077482B"/>
    <w:rsid w:val="00781788"/>
    <w:rsid w:val="0078328E"/>
    <w:rsid w:val="007A0424"/>
    <w:rsid w:val="007A416F"/>
    <w:rsid w:val="007A558B"/>
    <w:rsid w:val="007C6118"/>
    <w:rsid w:val="007D14EC"/>
    <w:rsid w:val="007D466B"/>
    <w:rsid w:val="007E4EED"/>
    <w:rsid w:val="007E5AEF"/>
    <w:rsid w:val="007F6114"/>
    <w:rsid w:val="00800FD6"/>
    <w:rsid w:val="00801D78"/>
    <w:rsid w:val="00803F61"/>
    <w:rsid w:val="0081703A"/>
    <w:rsid w:val="00820688"/>
    <w:rsid w:val="00822B21"/>
    <w:rsid w:val="0083470B"/>
    <w:rsid w:val="008377B0"/>
    <w:rsid w:val="00840477"/>
    <w:rsid w:val="00857CF0"/>
    <w:rsid w:val="0087456B"/>
    <w:rsid w:val="00876D8F"/>
    <w:rsid w:val="008831D1"/>
    <w:rsid w:val="00895B8C"/>
    <w:rsid w:val="008A183E"/>
    <w:rsid w:val="008A1A01"/>
    <w:rsid w:val="008A6337"/>
    <w:rsid w:val="008B3FC5"/>
    <w:rsid w:val="008B6EEE"/>
    <w:rsid w:val="008B77B2"/>
    <w:rsid w:val="008D5BF2"/>
    <w:rsid w:val="008F421C"/>
    <w:rsid w:val="008F663E"/>
    <w:rsid w:val="009009EC"/>
    <w:rsid w:val="00901501"/>
    <w:rsid w:val="00907624"/>
    <w:rsid w:val="009407FE"/>
    <w:rsid w:val="009409C1"/>
    <w:rsid w:val="009415DA"/>
    <w:rsid w:val="009506A8"/>
    <w:rsid w:val="009529D2"/>
    <w:rsid w:val="00952EA5"/>
    <w:rsid w:val="00954D4D"/>
    <w:rsid w:val="009716CE"/>
    <w:rsid w:val="00971BBA"/>
    <w:rsid w:val="00982C7E"/>
    <w:rsid w:val="00986D26"/>
    <w:rsid w:val="00987415"/>
    <w:rsid w:val="0099150E"/>
    <w:rsid w:val="00991FC3"/>
    <w:rsid w:val="009931E4"/>
    <w:rsid w:val="009A4FE2"/>
    <w:rsid w:val="009A7BFA"/>
    <w:rsid w:val="009B4A90"/>
    <w:rsid w:val="009B72A8"/>
    <w:rsid w:val="009B7C42"/>
    <w:rsid w:val="009C60ED"/>
    <w:rsid w:val="009D6B69"/>
    <w:rsid w:val="009E0BBF"/>
    <w:rsid w:val="009F04DD"/>
    <w:rsid w:val="00A07123"/>
    <w:rsid w:val="00A2107B"/>
    <w:rsid w:val="00A227B8"/>
    <w:rsid w:val="00A313FD"/>
    <w:rsid w:val="00A32332"/>
    <w:rsid w:val="00A34409"/>
    <w:rsid w:val="00A40209"/>
    <w:rsid w:val="00A54B92"/>
    <w:rsid w:val="00A57B1F"/>
    <w:rsid w:val="00A6160A"/>
    <w:rsid w:val="00A67F25"/>
    <w:rsid w:val="00A7401F"/>
    <w:rsid w:val="00A8076D"/>
    <w:rsid w:val="00A82633"/>
    <w:rsid w:val="00A91695"/>
    <w:rsid w:val="00A95275"/>
    <w:rsid w:val="00A960D3"/>
    <w:rsid w:val="00AA38EA"/>
    <w:rsid w:val="00AA4B72"/>
    <w:rsid w:val="00AB5536"/>
    <w:rsid w:val="00AC209C"/>
    <w:rsid w:val="00AC430A"/>
    <w:rsid w:val="00AC7389"/>
    <w:rsid w:val="00AC751F"/>
    <w:rsid w:val="00AD3763"/>
    <w:rsid w:val="00AD4D96"/>
    <w:rsid w:val="00AD731F"/>
    <w:rsid w:val="00AE3640"/>
    <w:rsid w:val="00AE4E63"/>
    <w:rsid w:val="00AE558F"/>
    <w:rsid w:val="00AF5AF5"/>
    <w:rsid w:val="00B00F5B"/>
    <w:rsid w:val="00B03139"/>
    <w:rsid w:val="00B15D77"/>
    <w:rsid w:val="00B201F1"/>
    <w:rsid w:val="00B2512E"/>
    <w:rsid w:val="00B37DE4"/>
    <w:rsid w:val="00B51332"/>
    <w:rsid w:val="00B524FC"/>
    <w:rsid w:val="00B54D3F"/>
    <w:rsid w:val="00B749F6"/>
    <w:rsid w:val="00B847F0"/>
    <w:rsid w:val="00B85A58"/>
    <w:rsid w:val="00B86DD8"/>
    <w:rsid w:val="00B87EFF"/>
    <w:rsid w:val="00B92B8F"/>
    <w:rsid w:val="00B95169"/>
    <w:rsid w:val="00B959AF"/>
    <w:rsid w:val="00B9668E"/>
    <w:rsid w:val="00B9796F"/>
    <w:rsid w:val="00BA193E"/>
    <w:rsid w:val="00BA2B32"/>
    <w:rsid w:val="00BB1273"/>
    <w:rsid w:val="00BC6EF8"/>
    <w:rsid w:val="00BE1F22"/>
    <w:rsid w:val="00BE63B5"/>
    <w:rsid w:val="00BE768B"/>
    <w:rsid w:val="00C00EA0"/>
    <w:rsid w:val="00C01192"/>
    <w:rsid w:val="00C041AA"/>
    <w:rsid w:val="00C1626F"/>
    <w:rsid w:val="00C32699"/>
    <w:rsid w:val="00C45E69"/>
    <w:rsid w:val="00C521EA"/>
    <w:rsid w:val="00C53723"/>
    <w:rsid w:val="00C539BB"/>
    <w:rsid w:val="00C55F0E"/>
    <w:rsid w:val="00C578BE"/>
    <w:rsid w:val="00C62C11"/>
    <w:rsid w:val="00C671A9"/>
    <w:rsid w:val="00C83755"/>
    <w:rsid w:val="00C94374"/>
    <w:rsid w:val="00C95CFD"/>
    <w:rsid w:val="00CA048C"/>
    <w:rsid w:val="00CB2952"/>
    <w:rsid w:val="00CB2A67"/>
    <w:rsid w:val="00CC5AAB"/>
    <w:rsid w:val="00CD16BC"/>
    <w:rsid w:val="00CF46B0"/>
    <w:rsid w:val="00CF4CC9"/>
    <w:rsid w:val="00D064AD"/>
    <w:rsid w:val="00D10BF2"/>
    <w:rsid w:val="00D115BB"/>
    <w:rsid w:val="00D1570D"/>
    <w:rsid w:val="00D200DC"/>
    <w:rsid w:val="00D310D8"/>
    <w:rsid w:val="00D36B36"/>
    <w:rsid w:val="00D429E3"/>
    <w:rsid w:val="00D4447D"/>
    <w:rsid w:val="00D50001"/>
    <w:rsid w:val="00D5461C"/>
    <w:rsid w:val="00D55033"/>
    <w:rsid w:val="00D74A64"/>
    <w:rsid w:val="00D80DFF"/>
    <w:rsid w:val="00D8571A"/>
    <w:rsid w:val="00D945A3"/>
    <w:rsid w:val="00DA6608"/>
    <w:rsid w:val="00DB5B59"/>
    <w:rsid w:val="00DB7265"/>
    <w:rsid w:val="00DB7D7F"/>
    <w:rsid w:val="00DC3119"/>
    <w:rsid w:val="00DD0C74"/>
    <w:rsid w:val="00DF240A"/>
    <w:rsid w:val="00E07C36"/>
    <w:rsid w:val="00E15E0B"/>
    <w:rsid w:val="00E17DF8"/>
    <w:rsid w:val="00E21559"/>
    <w:rsid w:val="00E22100"/>
    <w:rsid w:val="00E23001"/>
    <w:rsid w:val="00E23859"/>
    <w:rsid w:val="00E31DD4"/>
    <w:rsid w:val="00E335B0"/>
    <w:rsid w:val="00E405E7"/>
    <w:rsid w:val="00E450EC"/>
    <w:rsid w:val="00E464C4"/>
    <w:rsid w:val="00E501FC"/>
    <w:rsid w:val="00E55061"/>
    <w:rsid w:val="00E56B53"/>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59F8"/>
    <w:rsid w:val="00ED77C7"/>
    <w:rsid w:val="00EE03D4"/>
    <w:rsid w:val="00EF536D"/>
    <w:rsid w:val="00F0029F"/>
    <w:rsid w:val="00F00D1C"/>
    <w:rsid w:val="00F06270"/>
    <w:rsid w:val="00F10DFB"/>
    <w:rsid w:val="00F14786"/>
    <w:rsid w:val="00F1514D"/>
    <w:rsid w:val="00F177E5"/>
    <w:rsid w:val="00F20740"/>
    <w:rsid w:val="00F2607F"/>
    <w:rsid w:val="00F27C8F"/>
    <w:rsid w:val="00F30269"/>
    <w:rsid w:val="00F3463A"/>
    <w:rsid w:val="00F35F2D"/>
    <w:rsid w:val="00F37245"/>
    <w:rsid w:val="00F568F8"/>
    <w:rsid w:val="00F678A2"/>
    <w:rsid w:val="00F74704"/>
    <w:rsid w:val="00F95193"/>
    <w:rsid w:val="00FB11A3"/>
    <w:rsid w:val="00FC781D"/>
    <w:rsid w:val="00FD0B8B"/>
    <w:rsid w:val="00FD1C01"/>
    <w:rsid w:val="00FD775C"/>
    <w:rsid w:val="00FF2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212"/>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212"/>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960526865">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179999380">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95E4-D634-47D9-B85F-573C9AB2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362A0B33</Template>
  <TotalTime>50</TotalTime>
  <Pages>4</Pages>
  <Words>1149</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CESAR MORENO MERINO</cp:lastModifiedBy>
  <cp:revision>24</cp:revision>
  <cp:lastPrinted>2024-06-25T09:25:00Z</cp:lastPrinted>
  <dcterms:created xsi:type="dcterms:W3CDTF">2024-08-07T11:47:00Z</dcterms:created>
  <dcterms:modified xsi:type="dcterms:W3CDTF">2024-09-17T06:16:00Z</dcterms:modified>
</cp:coreProperties>
</file>