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37" w:rsidRPr="00E80E2F" w:rsidRDefault="008A6337" w:rsidP="00223A7D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567"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ANEXO </w:t>
      </w:r>
      <w:r w:rsidR="00A5454F">
        <w:rPr>
          <w:rFonts w:eastAsia="Times New Roman" w:cstheme="minorHAnsi"/>
          <w:b/>
          <w:bCs/>
          <w:sz w:val="28"/>
          <w:szCs w:val="28"/>
          <w:lang w:eastAsia="es-ES"/>
        </w:rPr>
        <w:t>I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>4.5</w:t>
      </w:r>
      <w:r w:rsidR="00185FC0">
        <w:rPr>
          <w:rFonts w:eastAsia="Times New Roman" w:cstheme="minorHAnsi"/>
          <w:b/>
          <w:bCs/>
          <w:sz w:val="28"/>
          <w:szCs w:val="28"/>
          <w:lang w:eastAsia="es-ES"/>
        </w:rPr>
        <w:t>.2</w:t>
      </w:r>
    </w:p>
    <w:p w:rsidR="008A6337" w:rsidRDefault="0032655D" w:rsidP="00223A7D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567"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ASTURIAS FEDER 2021/2027</w:t>
      </w:r>
    </w:p>
    <w:p w:rsidR="00DB6F07" w:rsidRPr="00C30AEE" w:rsidRDefault="00DB6F07" w:rsidP="00CC24D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tabs>
          <w:tab w:val="left" w:pos="9072"/>
        </w:tabs>
        <w:spacing w:after="0"/>
        <w:ind w:left="-567" w:right="-1"/>
        <w:jc w:val="center"/>
        <w:rPr>
          <w:rFonts w:eastAsia="Times New Roman" w:cstheme="minorHAnsi"/>
          <w:b/>
          <w:bCs/>
          <w:lang w:eastAsia="es-ES"/>
        </w:rPr>
      </w:pPr>
      <w:r w:rsidRPr="00C30AEE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C30AEE">
        <w:rPr>
          <w:rFonts w:eastAsia="Times New Roman" w:cstheme="minorHAnsi"/>
          <w:b/>
          <w:bCs/>
          <w:lang w:eastAsia="es-ES"/>
        </w:rPr>
        <w:t>R</w:t>
      </w:r>
      <w:r w:rsidRPr="00C30AEE">
        <w:rPr>
          <w:rFonts w:eastAsia="Times New Roman" w:cstheme="minorHAnsi"/>
          <w:b/>
          <w:bCs/>
          <w:lang w:eastAsia="es-ES"/>
        </w:rPr>
        <w:t>INCIPADO DE ASTURIAS</w:t>
      </w:r>
    </w:p>
    <w:p w:rsidR="006C29CD" w:rsidRPr="00AA30CC" w:rsidRDefault="00AA30CC" w:rsidP="00AA30CC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AA30C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Criterios y Procedimientos para la Sele</w:t>
      </w:r>
      <w:r w:rsidR="008156F3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cción de Operaciones - Versión 2</w:t>
      </w:r>
      <w:bookmarkStart w:id="0" w:name="_GoBack"/>
      <w:bookmarkEnd w:id="0"/>
      <w:r w:rsidRPr="00AA30C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.0 </w:t>
      </w:r>
    </w:p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2553"/>
        <w:gridCol w:w="7796"/>
      </w:tblGrid>
      <w:tr w:rsidR="00C30AEE" w:rsidTr="00CC24D8">
        <w:trPr>
          <w:trHeight w:val="615"/>
        </w:trPr>
        <w:tc>
          <w:tcPr>
            <w:tcW w:w="2553" w:type="dxa"/>
          </w:tcPr>
          <w:p w:rsidR="00C30AEE" w:rsidRDefault="00C30AEE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C30AEE" w:rsidRDefault="00C30AEE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7796" w:type="dxa"/>
          </w:tcPr>
          <w:p w:rsidR="00C30AEE" w:rsidRDefault="00C30AEE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30AEE" w:rsidTr="00CC24D8">
        <w:trPr>
          <w:trHeight w:val="443"/>
        </w:trPr>
        <w:tc>
          <w:tcPr>
            <w:tcW w:w="2553" w:type="dxa"/>
            <w:vAlign w:val="center"/>
          </w:tcPr>
          <w:p w:rsidR="00C30AEE" w:rsidRDefault="00C30AEE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7796" w:type="dxa"/>
          </w:tcPr>
          <w:p w:rsidR="00C30AEE" w:rsidRDefault="00C30AEE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30AEE" w:rsidTr="00CC24D8">
        <w:trPr>
          <w:trHeight w:val="517"/>
        </w:trPr>
        <w:tc>
          <w:tcPr>
            <w:tcW w:w="10349" w:type="dxa"/>
            <w:gridSpan w:val="2"/>
          </w:tcPr>
          <w:p w:rsidR="00C30AEE" w:rsidRDefault="00A5454F" w:rsidP="009B6CC8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DB6F07" w:rsidRPr="00C30AEE" w:rsidRDefault="00DB6F07" w:rsidP="00C30AEE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1482" w:type="dxa"/>
        <w:tblInd w:w="-1206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7"/>
        <w:gridCol w:w="84"/>
        <w:gridCol w:w="1327"/>
        <w:gridCol w:w="850"/>
        <w:gridCol w:w="851"/>
        <w:gridCol w:w="644"/>
        <w:gridCol w:w="64"/>
        <w:gridCol w:w="2552"/>
        <w:gridCol w:w="840"/>
        <w:gridCol w:w="10"/>
      </w:tblGrid>
      <w:tr w:rsidR="008A6337" w:rsidRPr="00242ECC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>OP 4 -</w:t>
            </w:r>
            <w:r w:rsidRPr="00883A4F"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  <w:t xml:space="preserve"> Una Europa más social e inclusiva, por medio de la aplicación del pilar europeo de derechos sociales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OE 4.5 - </w:t>
            </w:r>
            <w:r w:rsidRPr="00883A4F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La garantía de la igualdad de acceso a la asistencia sanitaria, reforzando la resiliencia de los sistemas sanitarios, incluida atención primaria, y fomentando la transición de la asistencia institucional a la asistencia en los ámbitos familiar y local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AS4A502 - </w:t>
            </w:r>
            <w:r w:rsidRPr="00883A4F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Construcción y mejora de centros sanitarios y consultorios de atención primaria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288" w:type="dxa"/>
            <w:gridSpan w:val="6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8A6337" w:rsidRPr="00025352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AA30CC" w:rsidRPr="00ED2103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6288" w:type="dxa"/>
            <w:gridSpan w:val="6"/>
            <w:shd w:val="clear" w:color="auto" w:fill="1F4E79" w:themeFill="accent1" w:themeFillShade="80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 operación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871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Se trata de una operación generadora de ingresos (SI/NO)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 (SI/NO)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62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8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128. Infraestructura sanitaria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="00A9622A">
              <w:t xml:space="preserve"> </w:t>
            </w: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6288" w:type="dxa"/>
            <w:gridSpan w:val="6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491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2E6EB0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7D4947" w:rsidRPr="00ED2103" w:rsidTr="009A43B5">
        <w:trPr>
          <w:gridAfter w:val="2"/>
          <w:wAfter w:w="850" w:type="dxa"/>
          <w:trHeight w:val="477"/>
        </w:trPr>
        <w:tc>
          <w:tcPr>
            <w:tcW w:w="10632" w:type="dxa"/>
            <w:gridSpan w:val="9"/>
            <w:shd w:val="clear" w:color="auto" w:fill="1F4E79" w:themeFill="accent1" w:themeFillShade="80"/>
            <w:vAlign w:val="center"/>
            <w:hideMark/>
          </w:tcPr>
          <w:p w:rsidR="007D4947" w:rsidRPr="00112F8E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185FC0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 xml:space="preserve"> cuya vida útil sea como mínimo de cinco años</w:t>
            </w:r>
          </w:p>
        </w:tc>
      </w:tr>
      <w:tr w:rsidR="006F4669" w:rsidRPr="007D4947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6F4669" w:rsidRPr="007D4947" w:rsidRDefault="00637653" w:rsidP="00637653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gestor ha realizado o se compromete a realizar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el estudio del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climate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proofing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 a adoptar las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medidas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que en él se propongan para garantizar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protección frente al cambio climático de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infraestructura?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6F4669" w:rsidRPr="00E17EF6" w:rsidRDefault="006F4669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7D494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672" w:type="dxa"/>
            <w:gridSpan w:val="4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2616" w:type="dxa"/>
            <w:gridSpan w:val="2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7D4947" w:rsidRPr="00ED2103" w:rsidTr="009A43B5">
        <w:trPr>
          <w:gridAfter w:val="2"/>
          <w:wAfter w:w="850" w:type="dxa"/>
          <w:trHeight w:val="476"/>
        </w:trPr>
        <w:tc>
          <w:tcPr>
            <w:tcW w:w="4344" w:type="dxa"/>
            <w:gridSpan w:val="3"/>
            <w:shd w:val="clear" w:color="auto" w:fill="DEEAF6" w:themeFill="accent1" w:themeFillTint="33"/>
            <w:noWrap/>
            <w:vAlign w:val="center"/>
            <w:hideMark/>
          </w:tcPr>
          <w:p w:rsidR="007D4947" w:rsidRPr="00C213B4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3672" w:type="dxa"/>
            <w:gridSpan w:val="4"/>
            <w:shd w:val="clear" w:color="auto" w:fill="auto"/>
            <w:noWrap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16" w:type="dxa"/>
            <w:gridSpan w:val="2"/>
            <w:shd w:val="clear" w:color="auto" w:fill="auto"/>
            <w:noWrap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D4947" w:rsidRPr="007D4947" w:rsidTr="009A43B5">
        <w:trPr>
          <w:gridAfter w:val="2"/>
          <w:wAfter w:w="850" w:type="dxa"/>
          <w:trHeight w:val="2839"/>
        </w:trPr>
        <w:tc>
          <w:tcPr>
            <w:tcW w:w="4344" w:type="dxa"/>
            <w:gridSpan w:val="3"/>
            <w:shd w:val="clear" w:color="auto" w:fill="DEEAF6" w:themeFill="accent1" w:themeFillTint="33"/>
            <w:noWrap/>
            <w:vAlign w:val="center"/>
            <w:hideMark/>
          </w:tcPr>
          <w:p w:rsidR="007D4947" w:rsidRPr="009529D2" w:rsidRDefault="00C30AEE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3672" w:type="dxa"/>
            <w:gridSpan w:val="4"/>
            <w:shd w:val="clear" w:color="auto" w:fill="auto"/>
            <w:noWrap/>
            <w:vAlign w:val="center"/>
            <w:hideMark/>
          </w:tcPr>
          <w:p w:rsidR="007D4947" w:rsidRPr="007D4947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16" w:type="dxa"/>
            <w:gridSpan w:val="2"/>
            <w:shd w:val="clear" w:color="auto" w:fill="auto"/>
            <w:noWrap/>
            <w:vAlign w:val="center"/>
            <w:hideMark/>
          </w:tcPr>
          <w:p w:rsidR="007D4947" w:rsidRPr="007D4947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854EED" w:rsidRPr="0096627F" w:rsidTr="00CC24D8">
        <w:trPr>
          <w:gridAfter w:val="1"/>
          <w:wAfter w:w="10" w:type="dxa"/>
          <w:trHeight w:val="483"/>
        </w:trPr>
        <w:tc>
          <w:tcPr>
            <w:tcW w:w="11472" w:type="dxa"/>
            <w:gridSpan w:val="10"/>
            <w:shd w:val="clear" w:color="auto" w:fill="1F4E79" w:themeFill="accent1" w:themeFillShade="80"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854EED" w:rsidRPr="0096627F" w:rsidTr="00CC24D8">
        <w:trPr>
          <w:gridAfter w:val="1"/>
          <w:wAfter w:w="10" w:type="dxa"/>
          <w:trHeight w:val="385"/>
        </w:trPr>
        <w:tc>
          <w:tcPr>
            <w:tcW w:w="4260" w:type="dxa"/>
            <w:gridSpan w:val="2"/>
            <w:shd w:val="clear" w:color="auto" w:fill="1F4E79" w:themeFill="accent1" w:themeFillShade="80"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3820" w:type="dxa"/>
            <w:gridSpan w:val="6"/>
            <w:shd w:val="clear" w:color="auto" w:fill="1F4E79" w:themeFill="accent1" w:themeFillShade="80"/>
            <w:noWrap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392" w:type="dxa"/>
            <w:gridSpan w:val="2"/>
            <w:shd w:val="clear" w:color="auto" w:fill="1F4E79" w:themeFill="accent1" w:themeFillShade="80"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854EED" w:rsidRPr="00ED2103" w:rsidTr="00CC24D8">
        <w:trPr>
          <w:gridAfter w:val="1"/>
          <w:wAfter w:w="10" w:type="dxa"/>
          <w:trHeight w:val="714"/>
        </w:trPr>
        <w:tc>
          <w:tcPr>
            <w:tcW w:w="4260" w:type="dxa"/>
            <w:gridSpan w:val="2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854EED" w:rsidRPr="00136F66" w:rsidRDefault="00854EED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lastRenderedPageBreak/>
              <w:t xml:space="preserve">RCO 69: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Capacidad de las instalaciones sanitarias nuevas o modernizadas</w:t>
            </w:r>
          </w:p>
        </w:tc>
        <w:tc>
          <w:tcPr>
            <w:tcW w:w="3820" w:type="dxa"/>
            <w:gridSpan w:val="6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854EED" w:rsidRPr="0081105D" w:rsidRDefault="00854EED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Personas/año</w:t>
            </w:r>
          </w:p>
        </w:tc>
        <w:tc>
          <w:tcPr>
            <w:tcW w:w="3392" w:type="dxa"/>
            <w:gridSpan w:val="2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854EED" w:rsidRPr="002C3F94" w:rsidRDefault="00854EED" w:rsidP="00270B02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3E79EE" w:rsidRPr="0096627F" w:rsidTr="00CC24D8">
        <w:trPr>
          <w:trHeight w:val="385"/>
        </w:trPr>
        <w:tc>
          <w:tcPr>
            <w:tcW w:w="4253" w:type="dxa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418" w:type="dxa"/>
            <w:gridSpan w:val="3"/>
            <w:shd w:val="clear" w:color="auto" w:fill="1F4E79" w:themeFill="accent1" w:themeFillShade="80"/>
            <w:noWrap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08" w:type="dxa"/>
            <w:gridSpan w:val="2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3E79EE" w:rsidRPr="00ED2103" w:rsidTr="00CC24D8">
        <w:trPr>
          <w:trHeight w:val="545"/>
        </w:trPr>
        <w:tc>
          <w:tcPr>
            <w:tcW w:w="42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3E79EE" w:rsidRPr="00136F66" w:rsidRDefault="003E79EE" w:rsidP="00773CB1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DC190F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73: </w:t>
            </w:r>
            <w:r w:rsidRPr="00DC190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 anuales de las instalaciones sanitarias nuevas o modernizadas</w:t>
            </w:r>
          </w:p>
        </w:tc>
        <w:tc>
          <w:tcPr>
            <w:tcW w:w="141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3E79EE" w:rsidRPr="009307BA" w:rsidRDefault="003E79EE" w:rsidP="00773CB1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9103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Usuarios/año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E79EE" w:rsidRPr="00695E1C" w:rsidRDefault="003E79EE" w:rsidP="00773CB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E79EE" w:rsidRPr="00695E1C" w:rsidRDefault="003E79EE" w:rsidP="00773CB1">
            <w:pPr>
              <w:spacing w:after="0" w:line="240" w:lineRule="auto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E79EE" w:rsidRPr="00695E1C" w:rsidRDefault="003E79EE" w:rsidP="00773CB1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3E79EE" w:rsidRPr="00695E1C" w:rsidRDefault="00646702" w:rsidP="006467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EE4DF1">
              <w:rPr>
                <w:rFonts w:cs="Calibri"/>
                <w:color w:val="002060"/>
                <w:sz w:val="20"/>
                <w:szCs w:val="20"/>
                <w:lang w:eastAsia="es-ES"/>
              </w:rPr>
              <w:t>El valor base del indicador se refiere al número de actos clínicos realizados durante el año anterior al comienzo de la intervención, y puede ser cero para instalaciones nuevas.</w:t>
            </w:r>
          </w:p>
        </w:tc>
      </w:tr>
      <w:tr w:rsidR="008A6337" w:rsidRPr="00ED2103" w:rsidTr="00CC24D8">
        <w:trPr>
          <w:trHeight w:val="312"/>
        </w:trPr>
        <w:tc>
          <w:tcPr>
            <w:tcW w:w="4253" w:type="dxa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Pr="00185FC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827" w:type="dxa"/>
            <w:gridSpan w:val="7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8A6337" w:rsidRPr="00ED2103" w:rsidTr="00CC24D8">
        <w:trPr>
          <w:trHeight w:val="787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Todas las inversiones en infraestructuras y servicios serán formuladas y seleccionadas en respuesta a las necesidades y desafíos territoriales, teniendo en cuenta la disponibilidad de infraestructuras y servicios y prestando especial atención a abordar la segregación educativa y espacial. Asimismo, deberán ser coherentes con las condiciones favorables correspondientes, y con las estrategias sectoriales pertinentes de los programas.</w:t>
            </w:r>
          </w:p>
        </w:tc>
        <w:tc>
          <w:tcPr>
            <w:tcW w:w="3827" w:type="dxa"/>
            <w:gridSpan w:val="7"/>
            <w:shd w:val="clear" w:color="auto" w:fill="auto"/>
            <w:noWrap/>
            <w:vAlign w:val="center"/>
          </w:tcPr>
          <w:p w:rsidR="008A6337" w:rsidRPr="0068169C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8A6337" w:rsidRPr="00ED2103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8A6337" w:rsidRPr="00ED2103" w:rsidTr="00CC24D8">
        <w:trPr>
          <w:trHeight w:val="80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las medidas orientadas a mejorar la calidad y la capacidad de resolución de la atención primaria, dentro del Marco Estratégico de Atención Primaria y Comunitaria.</w:t>
            </w:r>
          </w:p>
        </w:tc>
        <w:tc>
          <w:tcPr>
            <w:tcW w:w="3827" w:type="dxa"/>
            <w:gridSpan w:val="7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CC24D8">
        <w:trPr>
          <w:trHeight w:val="297"/>
        </w:trPr>
        <w:tc>
          <w:tcPr>
            <w:tcW w:w="4253" w:type="dxa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827" w:type="dxa"/>
            <w:gridSpan w:val="7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D1AEF" w:rsidRPr="00ED2103" w:rsidTr="00CC24D8">
        <w:trPr>
          <w:trHeight w:val="73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Utilización y protección sostenible de los recursos hídricos y marinos - etiqueta europea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Tras analizarse este condicionante en el grupo de trabajo y considerar que su redacción no consigue el fin último perseguido por este objetivo ambiental, se propone esta nueva redacción: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De acuerdo con el anexo I, del Reglamento (UE) 2021/2139, cuando se instalen equipos de consumo de agua, en edificios, éstos deberán atender a las siguientes características técnicas: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a) los grifos de lavabos y los grifos de cocinas tienen un caudal de agua máximo de 6 litros/minuto;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b) las duchas tienen un caudal máximo de agua de 8 litros/minuto;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c) los cuartos de baño, incluidos la bañera, los lavabos, los inodoros y las cisternas, tienen un volumen de descarga completa de un máximo de </w:t>
            </w: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lastRenderedPageBreak/>
              <w:t>6 litros y un volumen medio de descarga de 3,5 litros como máximo;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d) los urinarios usan un máximo de 2 litros/taza/hora; los urinarios de descarga tienen un volumen máximo de descarga completa de 1 litro.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1018"/>
        </w:trPr>
        <w:tc>
          <w:tcPr>
            <w:tcW w:w="4253" w:type="dxa"/>
            <w:vMerge w:val="restart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lastRenderedPageBreak/>
              <w:t>Utilización y protección sostenible de los recursos hídricos y marinos - Directivas de agua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Para evitar el impacto de la obra, los riesgos de degradación medioambiental relacionados con la preservación de la calidad del agua y la prevención del estrés hídrico se identificarán y abordarán de conformidad con los requisitos de las </w:t>
            </w:r>
            <w:r w:rsidRPr="00CB4028">
              <w:rPr>
                <w:rFonts w:asciiTheme="minorHAnsi" w:eastAsia="Times New Roman" w:hAnsiTheme="minorHAnsi" w:cs="Calibri"/>
                <w:b/>
                <w:color w:val="002060"/>
                <w:sz w:val="20"/>
                <w:szCs w:val="20"/>
                <w:lang w:eastAsia="es-ES"/>
              </w:rPr>
              <w:t>Directiva 2000/60/CE (Directiva marco del agua), Directiva 2008/56/CE (Directiva marco sobre la estrategia marina) y Directiva 2006/118/CE relativa a la protección de las aguas subterráneas</w:t>
            </w: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contra la contaminación y el deterioro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CD1AEF" w:rsidRPr="007D4947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1583"/>
        </w:trPr>
        <w:tc>
          <w:tcPr>
            <w:tcW w:w="4253" w:type="dxa"/>
            <w:vMerge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CD1AEF" w:rsidRPr="007D4947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73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Economía circular – Residuos de construcción y demolición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En lo relativo a la gestión de residuos de construcción y demolición (RCD), se aplicarán las disposiciones establecidas en el Real Decreto 105/2008, de 1 de febrero, sobre producción y gestión de RCD.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operaciones de relleno utilizando residuos para sustituir otros materiales.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610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Prevención y control de la contaminación – medidas para reducir ruido, polvo y emisiones.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incluirá como requisito de implementación de estas actuaciones la necesidad de adoptar medidas para reducir el ruido, el polvo y las emisiones contaminantes durante la fase de obra, ejecutándose todas las actuaciones de conformidad con lo dispuesto en la normativa vigente en materia de contaminación de suelos y agua.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83F42" w:rsidRPr="00ED2103" w:rsidTr="00CC24D8">
        <w:trPr>
          <w:trHeight w:val="1971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F83F42" w:rsidRPr="00E87605" w:rsidRDefault="00F83F42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lastRenderedPageBreak/>
              <w:t>Prevención y control de la contaminación – sustancias tóxicas.</w:t>
            </w:r>
          </w:p>
          <w:p w:rsidR="00F83F42" w:rsidRPr="00E87605" w:rsidRDefault="00F83F42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Los componentes y materiales de construcción utilizados en el desarrollo de las actuaciones previstas no contendrán amianto ni sustancias tóxicas identificadas a partir de la lista de sustancias sujetas a autorización que figura en el anexo XIV del Reglamento (CE) 1907/2006.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F83F42" w:rsidRPr="00CF355D" w:rsidRDefault="00F83F42" w:rsidP="00270B02">
            <w:pPr>
              <w:spacing w:after="0" w:line="240" w:lineRule="auto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83F42" w:rsidRPr="009506A8" w:rsidRDefault="00F83F42" w:rsidP="00270B02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BD6628" w:rsidRPr="00ED2103" w:rsidTr="00CC24D8">
        <w:trPr>
          <w:trHeight w:val="1971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D6628" w:rsidRDefault="00BD6628" w:rsidP="00BD6628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Protección y restauración de la biodiversidad y los ecosistemas</w:t>
            </w:r>
          </w:p>
          <w:p w:rsidR="00BD6628" w:rsidRPr="00CB3C4B" w:rsidRDefault="00BD6628" w:rsidP="00BD6628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 los casos en los que sea necesario, se asegurará el cumplimiento de lo dispuesto en la Ley 21/2013 en lo relativo a evaluación de impacto ambiental. Así mismo, se impulsará el cumplimiento de lo establecido en la Directiva 92/43/CEE del Consejo, de 21 de mayo de 1992, relativa a la conservación de los hábitats naturales y de la fauna y flora silvestres, traspuesta al ordenamiento jurídico español por el R.D. 1997/1995, en la Directiva 2009/147/CE del Parlamento Europeo y del Consejo, de 30 de noviembre de 2009, relativa a la conservación de las aves silvestres, y en la Ley 42/2007, del Patrimonio Natural y de la Biodiversidad.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D6628" w:rsidRPr="00CF355D" w:rsidRDefault="00BD6628" w:rsidP="00BD6628">
            <w:pPr>
              <w:spacing w:after="0" w:line="240" w:lineRule="auto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D6628" w:rsidRPr="009506A8" w:rsidRDefault="00BD6628" w:rsidP="00BD6628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BD6628" w:rsidRPr="00ED2103" w:rsidTr="00CC24D8">
        <w:trPr>
          <w:trHeight w:val="297"/>
        </w:trPr>
        <w:tc>
          <w:tcPr>
            <w:tcW w:w="4253" w:type="dxa"/>
            <w:shd w:val="clear" w:color="auto" w:fill="1F4E79" w:themeFill="accent1" w:themeFillShade="80"/>
            <w:vAlign w:val="center"/>
            <w:hideMark/>
          </w:tcPr>
          <w:p w:rsidR="00BD6628" w:rsidRPr="00185FC0" w:rsidRDefault="00BD6628" w:rsidP="00BD662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827" w:type="dxa"/>
            <w:gridSpan w:val="7"/>
            <w:shd w:val="clear" w:color="auto" w:fill="1F4E79" w:themeFill="accent1" w:themeFillShade="80"/>
            <w:vAlign w:val="center"/>
            <w:hideMark/>
          </w:tcPr>
          <w:p w:rsidR="00BD6628" w:rsidRPr="00185FC0" w:rsidRDefault="00BD6628" w:rsidP="00BD6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  <w:hideMark/>
          </w:tcPr>
          <w:p w:rsidR="00BD6628" w:rsidRPr="00185FC0" w:rsidRDefault="00BD6628" w:rsidP="00BD6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BD6628" w:rsidRPr="00ED2103" w:rsidTr="00CC24D8">
        <w:trPr>
          <w:trHeight w:val="82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F0618A" w:rsidRPr="00F0618A" w:rsidRDefault="00F0618A" w:rsidP="00BD6628">
            <w:pPr>
              <w:spacing w:after="0" w:line="240" w:lineRule="auto"/>
              <w:ind w:right="112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0618A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Proyectos alineados con la Nueva Bauhaus Europea 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aquellas operaciones alineadas con los siguientes valores fundamentales de la Nueva Bauhaus Europea: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·     Sostenibilidad: atendiendo a los objetivos climáticos, la economía circular y la biodiversidad, se tendrán en cuenta aquellas soluciones constructivas y de las instalaciones que permitan la mayor versatilidad posible de los espacios futuros, que sean materiales duraderos, eficientes desde el punto de vista del ahorro energético y de la sostenibilidad.</w:t>
            </w: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br/>
              <w:t>·    Estética: se valorarán aquellas actuaciones que integren en su diseño aspectos estéticos que mejoren la sensación de confort y seguridad en los usuarios, como por ejemplo, espacios interiores luminosos y versátiles, confortables y amigables, dotados de un mobiliario más moderno y confortable, con ventanales más amplios que ayuden a conectar al usuario con la naturaleza, por ejemplo.</w:t>
            </w:r>
          </w:p>
        </w:tc>
        <w:tc>
          <w:tcPr>
            <w:tcW w:w="3827" w:type="dxa"/>
            <w:gridSpan w:val="7"/>
            <w:shd w:val="clear" w:color="auto" w:fill="auto"/>
            <w:noWrap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D6628" w:rsidRPr="00ED2103" w:rsidTr="00CC24D8">
        <w:trPr>
          <w:trHeight w:val="45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F0618A" w:rsidRPr="00F0618A" w:rsidRDefault="00F0618A" w:rsidP="00BD6628">
            <w:pPr>
              <w:spacing w:after="0" w:line="240" w:lineRule="auto"/>
              <w:ind w:right="112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0618A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Otros criterios concordantes con las directrices de la Evaluación Ambiental Estratégica FEDER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lastRenderedPageBreak/>
              <w:t>Se priorizarán actuaciones que incluyan medidas de integración paisajística o que impliquen el desarrollo innovador en el ámbito ambiental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BD6628" w:rsidRPr="00ED2103" w:rsidTr="00CC24D8">
        <w:trPr>
          <w:trHeight w:val="45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F0618A" w:rsidRPr="00F0618A" w:rsidRDefault="00F0618A" w:rsidP="00BD6628">
            <w:pPr>
              <w:spacing w:after="0" w:line="240" w:lineRule="auto"/>
              <w:ind w:right="112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0618A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Contribución al reto demográfico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tendrá en cuenta aquellas acciones que mejor contribuyan a la fijación de la población en zonas de baja densidad o zonas urbanas degradadas, o al rejuvenecimiento de la pirámide poblacional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</w:tbl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3424A3" w:rsidRPr="00501F39" w:rsidRDefault="00F0618A" w:rsidP="00F0618A">
      <w:pPr>
        <w:jc w:val="center"/>
      </w:pPr>
      <w:r>
        <w:rPr>
          <w:rFonts w:cstheme="minorHAnsi"/>
          <w:sz w:val="20"/>
          <w:szCs w:val="20"/>
        </w:rPr>
        <w:t>El Jefe de Servicio de……</w:t>
      </w:r>
    </w:p>
    <w:sectPr w:rsidR="003424A3" w:rsidRPr="00501F39" w:rsidSect="00CC24D8">
      <w:headerReference w:type="default" r:id="rId8"/>
      <w:footerReference w:type="default" r:id="rId9"/>
      <w:pgSz w:w="11906" w:h="16838" w:code="9"/>
      <w:pgMar w:top="982" w:right="849" w:bottom="1134" w:left="184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E7E" w:rsidRDefault="004F5E7E" w:rsidP="00895B8C">
      <w:pPr>
        <w:spacing w:after="0" w:line="240" w:lineRule="auto"/>
      </w:pPr>
      <w:r>
        <w:separator/>
      </w:r>
    </w:p>
  </w:endnote>
  <w:endnote w:type="continuationSeparator" w:id="0">
    <w:p w:rsidR="004F5E7E" w:rsidRDefault="004F5E7E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4DE98C7C" wp14:editId="13BF4A11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E7E" w:rsidRDefault="004F5E7E" w:rsidP="00895B8C">
      <w:pPr>
        <w:spacing w:after="0" w:line="240" w:lineRule="auto"/>
      </w:pPr>
      <w:r>
        <w:separator/>
      </w:r>
    </w:p>
  </w:footnote>
  <w:footnote w:type="continuationSeparator" w:id="0">
    <w:p w:rsidR="004F5E7E" w:rsidRDefault="004F5E7E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36"/>
      <w:gridCol w:w="3992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15FE1E4" wp14:editId="3669CD95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EFBBD7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14009A3C" wp14:editId="76299FBF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637653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637653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5E26C2E" wp14:editId="4A5CFC0C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E395EB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3E424E" wp14:editId="2B82A465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A50A031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7"/>
  </w:num>
  <w:num w:numId="4">
    <w:abstractNumId w:val="29"/>
  </w:num>
  <w:num w:numId="5">
    <w:abstractNumId w:val="12"/>
  </w:num>
  <w:num w:numId="6">
    <w:abstractNumId w:val="4"/>
  </w:num>
  <w:num w:numId="7">
    <w:abstractNumId w:val="13"/>
  </w:num>
  <w:num w:numId="8">
    <w:abstractNumId w:val="19"/>
  </w:num>
  <w:num w:numId="9">
    <w:abstractNumId w:val="25"/>
  </w:num>
  <w:num w:numId="10">
    <w:abstractNumId w:val="24"/>
  </w:num>
  <w:num w:numId="11">
    <w:abstractNumId w:val="27"/>
  </w:num>
  <w:num w:numId="12">
    <w:abstractNumId w:val="31"/>
  </w:num>
  <w:num w:numId="13">
    <w:abstractNumId w:val="16"/>
  </w:num>
  <w:num w:numId="14">
    <w:abstractNumId w:val="0"/>
  </w:num>
  <w:num w:numId="15">
    <w:abstractNumId w:val="11"/>
  </w:num>
  <w:num w:numId="16">
    <w:abstractNumId w:val="30"/>
  </w:num>
  <w:num w:numId="17">
    <w:abstractNumId w:val="1"/>
  </w:num>
  <w:num w:numId="18">
    <w:abstractNumId w:val="26"/>
  </w:num>
  <w:num w:numId="19">
    <w:abstractNumId w:val="22"/>
  </w:num>
  <w:num w:numId="20">
    <w:abstractNumId w:val="14"/>
  </w:num>
  <w:num w:numId="21">
    <w:abstractNumId w:val="28"/>
  </w:num>
  <w:num w:numId="22">
    <w:abstractNumId w:val="6"/>
  </w:num>
  <w:num w:numId="23">
    <w:abstractNumId w:val="23"/>
  </w:num>
  <w:num w:numId="24">
    <w:abstractNumId w:val="20"/>
  </w:num>
  <w:num w:numId="25">
    <w:abstractNumId w:val="17"/>
  </w:num>
  <w:num w:numId="26">
    <w:abstractNumId w:val="10"/>
  </w:num>
  <w:num w:numId="27">
    <w:abstractNumId w:val="2"/>
  </w:num>
  <w:num w:numId="28">
    <w:abstractNumId w:val="8"/>
  </w:num>
  <w:num w:numId="29">
    <w:abstractNumId w:val="15"/>
  </w:num>
  <w:num w:numId="30">
    <w:abstractNumId w:val="18"/>
  </w:num>
  <w:num w:numId="31">
    <w:abstractNumId w:val="9"/>
  </w:num>
  <w:num w:numId="32">
    <w:abstractNumId w:val="21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59D5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6365"/>
    <w:rsid w:val="000A0B00"/>
    <w:rsid w:val="000A2407"/>
    <w:rsid w:val="000B3BEB"/>
    <w:rsid w:val="000C7603"/>
    <w:rsid w:val="000E61DD"/>
    <w:rsid w:val="000F05DA"/>
    <w:rsid w:val="000F7945"/>
    <w:rsid w:val="00114D34"/>
    <w:rsid w:val="001153A5"/>
    <w:rsid w:val="00116E02"/>
    <w:rsid w:val="00117409"/>
    <w:rsid w:val="001235F3"/>
    <w:rsid w:val="00125915"/>
    <w:rsid w:val="0014549B"/>
    <w:rsid w:val="00146F14"/>
    <w:rsid w:val="001603F0"/>
    <w:rsid w:val="00177E02"/>
    <w:rsid w:val="00183B0D"/>
    <w:rsid w:val="00185FC0"/>
    <w:rsid w:val="0019097B"/>
    <w:rsid w:val="001A1E43"/>
    <w:rsid w:val="001B28A4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23A7D"/>
    <w:rsid w:val="00230902"/>
    <w:rsid w:val="00270B02"/>
    <w:rsid w:val="0027595D"/>
    <w:rsid w:val="00284EAB"/>
    <w:rsid w:val="002858FA"/>
    <w:rsid w:val="00286DDB"/>
    <w:rsid w:val="00290185"/>
    <w:rsid w:val="002954FE"/>
    <w:rsid w:val="002A0981"/>
    <w:rsid w:val="002A60C2"/>
    <w:rsid w:val="002B25C6"/>
    <w:rsid w:val="002C03F8"/>
    <w:rsid w:val="002C14B5"/>
    <w:rsid w:val="002C6CCD"/>
    <w:rsid w:val="002D37FC"/>
    <w:rsid w:val="002E6EB0"/>
    <w:rsid w:val="002F6AAF"/>
    <w:rsid w:val="0030164C"/>
    <w:rsid w:val="00302B60"/>
    <w:rsid w:val="00321F71"/>
    <w:rsid w:val="00323E1A"/>
    <w:rsid w:val="0032655D"/>
    <w:rsid w:val="00334BE2"/>
    <w:rsid w:val="00334E48"/>
    <w:rsid w:val="00334E7F"/>
    <w:rsid w:val="00335C49"/>
    <w:rsid w:val="003424A3"/>
    <w:rsid w:val="0035384F"/>
    <w:rsid w:val="00373CC8"/>
    <w:rsid w:val="00374080"/>
    <w:rsid w:val="00375927"/>
    <w:rsid w:val="00377C42"/>
    <w:rsid w:val="0038436A"/>
    <w:rsid w:val="00384B8E"/>
    <w:rsid w:val="003A623A"/>
    <w:rsid w:val="003B17A9"/>
    <w:rsid w:val="003B5BC4"/>
    <w:rsid w:val="003B795B"/>
    <w:rsid w:val="003C69F6"/>
    <w:rsid w:val="003D207F"/>
    <w:rsid w:val="003D5F2E"/>
    <w:rsid w:val="003D6466"/>
    <w:rsid w:val="003E79EE"/>
    <w:rsid w:val="003F15DB"/>
    <w:rsid w:val="004060DE"/>
    <w:rsid w:val="00410313"/>
    <w:rsid w:val="004115A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723FF"/>
    <w:rsid w:val="00482891"/>
    <w:rsid w:val="00490626"/>
    <w:rsid w:val="00493452"/>
    <w:rsid w:val="004A0E6D"/>
    <w:rsid w:val="004A1B5D"/>
    <w:rsid w:val="004A5742"/>
    <w:rsid w:val="004B0F21"/>
    <w:rsid w:val="004B6A37"/>
    <w:rsid w:val="004D52E8"/>
    <w:rsid w:val="004D786A"/>
    <w:rsid w:val="004E0328"/>
    <w:rsid w:val="004E1262"/>
    <w:rsid w:val="004F5E7E"/>
    <w:rsid w:val="005011EE"/>
    <w:rsid w:val="00501F39"/>
    <w:rsid w:val="00507151"/>
    <w:rsid w:val="00531BDD"/>
    <w:rsid w:val="00536801"/>
    <w:rsid w:val="00542DA2"/>
    <w:rsid w:val="00547C85"/>
    <w:rsid w:val="00550047"/>
    <w:rsid w:val="00550ADA"/>
    <w:rsid w:val="005640E1"/>
    <w:rsid w:val="00565C54"/>
    <w:rsid w:val="00566B2A"/>
    <w:rsid w:val="005814F6"/>
    <w:rsid w:val="00585AFF"/>
    <w:rsid w:val="00586F31"/>
    <w:rsid w:val="005B71BA"/>
    <w:rsid w:val="005C60E1"/>
    <w:rsid w:val="005D1A49"/>
    <w:rsid w:val="005D7467"/>
    <w:rsid w:val="005E0490"/>
    <w:rsid w:val="00621293"/>
    <w:rsid w:val="006261BE"/>
    <w:rsid w:val="006360A1"/>
    <w:rsid w:val="00637103"/>
    <w:rsid w:val="00637653"/>
    <w:rsid w:val="00641885"/>
    <w:rsid w:val="00646702"/>
    <w:rsid w:val="00651FE0"/>
    <w:rsid w:val="006621AB"/>
    <w:rsid w:val="006726EF"/>
    <w:rsid w:val="006809F5"/>
    <w:rsid w:val="00687044"/>
    <w:rsid w:val="0069387F"/>
    <w:rsid w:val="006B187D"/>
    <w:rsid w:val="006B1BD2"/>
    <w:rsid w:val="006C29CD"/>
    <w:rsid w:val="006C648D"/>
    <w:rsid w:val="006D66BD"/>
    <w:rsid w:val="006E2244"/>
    <w:rsid w:val="006F4669"/>
    <w:rsid w:val="006F6E51"/>
    <w:rsid w:val="00700B1B"/>
    <w:rsid w:val="007014C5"/>
    <w:rsid w:val="00701924"/>
    <w:rsid w:val="00701BED"/>
    <w:rsid w:val="00701E7C"/>
    <w:rsid w:val="00720FEF"/>
    <w:rsid w:val="007247E9"/>
    <w:rsid w:val="00735A8C"/>
    <w:rsid w:val="00752C7D"/>
    <w:rsid w:val="00764BF5"/>
    <w:rsid w:val="00766A8B"/>
    <w:rsid w:val="00773AD9"/>
    <w:rsid w:val="0077482B"/>
    <w:rsid w:val="00781788"/>
    <w:rsid w:val="007A0424"/>
    <w:rsid w:val="007A416F"/>
    <w:rsid w:val="007A558B"/>
    <w:rsid w:val="007C6118"/>
    <w:rsid w:val="007D14EC"/>
    <w:rsid w:val="007D466B"/>
    <w:rsid w:val="007D4947"/>
    <w:rsid w:val="007E5AEF"/>
    <w:rsid w:val="00800FD6"/>
    <w:rsid w:val="0081105D"/>
    <w:rsid w:val="008156F3"/>
    <w:rsid w:val="0081703A"/>
    <w:rsid w:val="00820688"/>
    <w:rsid w:val="0083470B"/>
    <w:rsid w:val="008377B0"/>
    <w:rsid w:val="00854EED"/>
    <w:rsid w:val="00857CF0"/>
    <w:rsid w:val="0087456B"/>
    <w:rsid w:val="00876D8F"/>
    <w:rsid w:val="008831D1"/>
    <w:rsid w:val="00883A4F"/>
    <w:rsid w:val="00895B8C"/>
    <w:rsid w:val="008A183E"/>
    <w:rsid w:val="008A6337"/>
    <w:rsid w:val="008B6EEE"/>
    <w:rsid w:val="008B77B2"/>
    <w:rsid w:val="008D4860"/>
    <w:rsid w:val="008D5BF2"/>
    <w:rsid w:val="008F421C"/>
    <w:rsid w:val="008F663E"/>
    <w:rsid w:val="009009EC"/>
    <w:rsid w:val="00901501"/>
    <w:rsid w:val="00907624"/>
    <w:rsid w:val="009407FE"/>
    <w:rsid w:val="009409C1"/>
    <w:rsid w:val="009506A8"/>
    <w:rsid w:val="00952EA5"/>
    <w:rsid w:val="00954D4D"/>
    <w:rsid w:val="009716CE"/>
    <w:rsid w:val="00982C7E"/>
    <w:rsid w:val="00986D26"/>
    <w:rsid w:val="00987415"/>
    <w:rsid w:val="0099150E"/>
    <w:rsid w:val="00991FC3"/>
    <w:rsid w:val="009931E4"/>
    <w:rsid w:val="009A43B5"/>
    <w:rsid w:val="009A4FE2"/>
    <w:rsid w:val="009A7BFA"/>
    <w:rsid w:val="009B4A90"/>
    <w:rsid w:val="009B72A8"/>
    <w:rsid w:val="009B7C42"/>
    <w:rsid w:val="009D6B69"/>
    <w:rsid w:val="009E0BBF"/>
    <w:rsid w:val="009F04DD"/>
    <w:rsid w:val="00A07123"/>
    <w:rsid w:val="00A2107B"/>
    <w:rsid w:val="00A227B8"/>
    <w:rsid w:val="00A313FD"/>
    <w:rsid w:val="00A32332"/>
    <w:rsid w:val="00A40209"/>
    <w:rsid w:val="00A5454F"/>
    <w:rsid w:val="00A54B92"/>
    <w:rsid w:val="00A6160A"/>
    <w:rsid w:val="00A67F25"/>
    <w:rsid w:val="00A7401F"/>
    <w:rsid w:val="00A8076D"/>
    <w:rsid w:val="00A82633"/>
    <w:rsid w:val="00A95275"/>
    <w:rsid w:val="00A960D3"/>
    <w:rsid w:val="00A9622A"/>
    <w:rsid w:val="00AA30CC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5AF5"/>
    <w:rsid w:val="00B00F5B"/>
    <w:rsid w:val="00B03139"/>
    <w:rsid w:val="00B15D77"/>
    <w:rsid w:val="00B201F1"/>
    <w:rsid w:val="00B2512E"/>
    <w:rsid w:val="00B37DE4"/>
    <w:rsid w:val="00B51332"/>
    <w:rsid w:val="00B524FC"/>
    <w:rsid w:val="00B54D3F"/>
    <w:rsid w:val="00B749F6"/>
    <w:rsid w:val="00B847F0"/>
    <w:rsid w:val="00B86DD8"/>
    <w:rsid w:val="00B87EFF"/>
    <w:rsid w:val="00B91BFE"/>
    <w:rsid w:val="00B92B8F"/>
    <w:rsid w:val="00B95169"/>
    <w:rsid w:val="00B959AF"/>
    <w:rsid w:val="00B9668E"/>
    <w:rsid w:val="00B9796F"/>
    <w:rsid w:val="00BA2B32"/>
    <w:rsid w:val="00BB1273"/>
    <w:rsid w:val="00BD6628"/>
    <w:rsid w:val="00BE1F22"/>
    <w:rsid w:val="00BE63B5"/>
    <w:rsid w:val="00BE768B"/>
    <w:rsid w:val="00C00EA0"/>
    <w:rsid w:val="00C01192"/>
    <w:rsid w:val="00C041AA"/>
    <w:rsid w:val="00C1626F"/>
    <w:rsid w:val="00C30AEE"/>
    <w:rsid w:val="00C32699"/>
    <w:rsid w:val="00C45E69"/>
    <w:rsid w:val="00C521EA"/>
    <w:rsid w:val="00C53723"/>
    <w:rsid w:val="00C539BB"/>
    <w:rsid w:val="00C55F0E"/>
    <w:rsid w:val="00C671A9"/>
    <w:rsid w:val="00C83755"/>
    <w:rsid w:val="00CA7FA9"/>
    <w:rsid w:val="00CB2952"/>
    <w:rsid w:val="00CB2A67"/>
    <w:rsid w:val="00CB4028"/>
    <w:rsid w:val="00CC24D8"/>
    <w:rsid w:val="00CC5AAB"/>
    <w:rsid w:val="00CD16BC"/>
    <w:rsid w:val="00CD1AEF"/>
    <w:rsid w:val="00CF46B0"/>
    <w:rsid w:val="00D064AD"/>
    <w:rsid w:val="00D10BF2"/>
    <w:rsid w:val="00D115BB"/>
    <w:rsid w:val="00D1570D"/>
    <w:rsid w:val="00D310D8"/>
    <w:rsid w:val="00D36B36"/>
    <w:rsid w:val="00D429E3"/>
    <w:rsid w:val="00D4447D"/>
    <w:rsid w:val="00D50001"/>
    <w:rsid w:val="00D5461C"/>
    <w:rsid w:val="00D55033"/>
    <w:rsid w:val="00D80DFF"/>
    <w:rsid w:val="00D81241"/>
    <w:rsid w:val="00D8571A"/>
    <w:rsid w:val="00D945A3"/>
    <w:rsid w:val="00DA6608"/>
    <w:rsid w:val="00DB6F07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8176F"/>
    <w:rsid w:val="00E836A5"/>
    <w:rsid w:val="00E87605"/>
    <w:rsid w:val="00E92664"/>
    <w:rsid w:val="00EA15A3"/>
    <w:rsid w:val="00EA2197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E4DF1"/>
    <w:rsid w:val="00EF536D"/>
    <w:rsid w:val="00F0029F"/>
    <w:rsid w:val="00F00D1C"/>
    <w:rsid w:val="00F0618A"/>
    <w:rsid w:val="00F06270"/>
    <w:rsid w:val="00F10DFB"/>
    <w:rsid w:val="00F14786"/>
    <w:rsid w:val="00F1514D"/>
    <w:rsid w:val="00F20740"/>
    <w:rsid w:val="00F216E4"/>
    <w:rsid w:val="00F27C8F"/>
    <w:rsid w:val="00F3463A"/>
    <w:rsid w:val="00F35F2D"/>
    <w:rsid w:val="00F568F8"/>
    <w:rsid w:val="00F678A2"/>
    <w:rsid w:val="00F74704"/>
    <w:rsid w:val="00F75634"/>
    <w:rsid w:val="00F83F42"/>
    <w:rsid w:val="00F95193"/>
    <w:rsid w:val="00FB11A3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187E0"/>
  <w15:docId w15:val="{25462849-877A-4EBB-BB86-99DBDED5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60C5-1705-47D8-893B-8863E58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3</cp:revision>
  <cp:lastPrinted>2024-08-08T10:38:00Z</cp:lastPrinted>
  <dcterms:created xsi:type="dcterms:W3CDTF">2026-01-12T11:15:00Z</dcterms:created>
  <dcterms:modified xsi:type="dcterms:W3CDTF">2026-01-13T11:14:00Z</dcterms:modified>
</cp:coreProperties>
</file>